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68C63" w14:textId="2259D469" w:rsidR="00A75C04" w:rsidRDefault="00A75C04" w:rsidP="00B71580">
      <w:pPr>
        <w:pStyle w:val="Title"/>
        <w:rPr>
          <w:rFonts w:eastAsia="Times New Roman"/>
        </w:rPr>
      </w:pPr>
      <w:r>
        <w:rPr>
          <w:rFonts w:eastAsia="Times New Roman"/>
        </w:rPr>
        <w:t xml:space="preserve">Planning for </w:t>
      </w:r>
      <w:r w:rsidR="002747CE">
        <w:rPr>
          <w:rFonts w:eastAsia="Times New Roman"/>
        </w:rPr>
        <w:t>Pandemic</w:t>
      </w:r>
      <w:r w:rsidR="0000289A">
        <w:rPr>
          <w:rFonts w:eastAsia="Times New Roman"/>
        </w:rPr>
        <w:t xml:space="preserve"> and Epidemic</w:t>
      </w:r>
      <w:r w:rsidR="002747CE">
        <w:rPr>
          <w:rFonts w:eastAsia="Times New Roman"/>
        </w:rPr>
        <w:t xml:space="preserve">-Related </w:t>
      </w:r>
      <w:r>
        <w:rPr>
          <w:rFonts w:eastAsia="Times New Roman"/>
        </w:rPr>
        <w:t>Drug Scarcity</w:t>
      </w:r>
    </w:p>
    <w:p w14:paraId="4CBC1048" w14:textId="5DE5F8D4" w:rsidR="00E90F65" w:rsidRPr="00E90F65" w:rsidRDefault="00E90F65" w:rsidP="00E90F65">
      <w:pPr>
        <w:jc w:val="center"/>
        <w:rPr>
          <w:b/>
          <w:bCs/>
        </w:rPr>
      </w:pPr>
      <w:r w:rsidRPr="00E90F65">
        <w:rPr>
          <w:b/>
          <w:bCs/>
        </w:rPr>
        <w:t>Sapna Kumar &amp; Ana Santos Rutschman</w:t>
      </w:r>
      <w:r w:rsidR="00D1276B">
        <w:rPr>
          <w:rStyle w:val="FootnoteReference"/>
          <w:b/>
          <w:bCs/>
        </w:rPr>
        <w:footnoteReference w:id="1"/>
      </w:r>
    </w:p>
    <w:p w14:paraId="6A1B2011" w14:textId="1FF6ADEB" w:rsidR="00924A62" w:rsidRPr="00924A62" w:rsidRDefault="00924A62" w:rsidP="0043598F">
      <w:pPr>
        <w:pStyle w:val="Abstract"/>
      </w:pPr>
      <w:r w:rsidRPr="00924A62">
        <w:t xml:space="preserve">The COVID-19 pandemic has highlighted problems regarding scarcity of lifesaving medicines. During pandemics and epidemics, a sudden surge in demand for medicines is often unmatched on the supply side. Moreover, the same intellectual property rights that </w:t>
      </w:r>
      <w:r w:rsidR="00845CF9">
        <w:t xml:space="preserve">are supposed to </w:t>
      </w:r>
      <w:r w:rsidRPr="00924A62">
        <w:t>incentivize the</w:t>
      </w:r>
      <w:r w:rsidR="00827669">
        <w:t>ir</w:t>
      </w:r>
      <w:r w:rsidRPr="00924A62">
        <w:t xml:space="preserve"> creation </w:t>
      </w:r>
      <w:r w:rsidR="00845CF9">
        <w:t xml:space="preserve">may </w:t>
      </w:r>
      <w:r w:rsidRPr="00924A62">
        <w:t xml:space="preserve">also limit governments’ ability to scale up production during times of crisis. </w:t>
      </w:r>
      <w:r w:rsidR="00614E78">
        <w:t>Few legal safeguards exist to compel pharmaceutical companies to share the</w:t>
      </w:r>
      <w:r w:rsidRPr="00924A62">
        <w:t xml:space="preserve"> proprietary technology and know-how</w:t>
      </w:r>
      <w:r w:rsidR="00614E78">
        <w:t xml:space="preserve"> needed to quickly and efficiently produce needed drugs</w:t>
      </w:r>
      <w:r w:rsidRPr="00924A62">
        <w:t xml:space="preserve">. In this chapter, we propose an ex ante approach to tackling </w:t>
      </w:r>
      <w:r w:rsidR="00827669">
        <w:t>such</w:t>
      </w:r>
      <w:r w:rsidR="00827669" w:rsidRPr="00924A62">
        <w:t xml:space="preserve"> </w:t>
      </w:r>
      <w:r w:rsidRPr="00924A62">
        <w:t>scarcity</w:t>
      </w:r>
      <w:r w:rsidR="00827669">
        <w:t>:</w:t>
      </w:r>
      <w:r w:rsidRPr="00924A62">
        <w:t xml:space="preserve"> </w:t>
      </w:r>
      <w:r w:rsidR="00860CAB">
        <w:t>E</w:t>
      </w:r>
      <w:r w:rsidR="00475E1F">
        <w:t xml:space="preserve">ntities </w:t>
      </w:r>
      <w:r w:rsidR="0043598F">
        <w:t xml:space="preserve">funding </w:t>
      </w:r>
      <w:r w:rsidR="00475E1F">
        <w:t>pandemic</w:t>
      </w:r>
      <w:r w:rsidR="005F2892">
        <w:t>-</w:t>
      </w:r>
      <w:r w:rsidR="00475E1F">
        <w:t xml:space="preserve"> and epidemic</w:t>
      </w:r>
      <w:r w:rsidR="005F2892">
        <w:t>-related research</w:t>
      </w:r>
      <w:r w:rsidRPr="00924A62">
        <w:t xml:space="preserve"> should require recipients to </w:t>
      </w:r>
      <w:r w:rsidR="00475E1F">
        <w:t>produce sufficient quantities of</w:t>
      </w:r>
      <w:r w:rsidRPr="00924A62">
        <w:t xml:space="preserve"> resulting drug</w:t>
      </w:r>
      <w:r w:rsidR="00837AF1">
        <w:t>s</w:t>
      </w:r>
      <w:r w:rsidRPr="00924A62">
        <w:t xml:space="preserve">. </w:t>
      </w:r>
      <w:r w:rsidR="00370A2D">
        <w:t>T</w:t>
      </w:r>
      <w:r w:rsidRPr="00924A62">
        <w:t>he recipient would agree</w:t>
      </w:r>
      <w:r w:rsidR="00370A2D">
        <w:t xml:space="preserve"> in the event of a future shortage</w:t>
      </w:r>
      <w:r w:rsidRPr="00924A62">
        <w:t xml:space="preserve"> to share its technology and know-how </w:t>
      </w:r>
      <w:r w:rsidR="003E1D6B">
        <w:t>with</w:t>
      </w:r>
      <w:r w:rsidR="003E1D6B" w:rsidRPr="00924A62">
        <w:t xml:space="preserve"> </w:t>
      </w:r>
      <w:r w:rsidRPr="00924A62">
        <w:t xml:space="preserve">a qualified third-party manufacturer, in exchange for </w:t>
      </w:r>
      <w:r w:rsidR="00370A2D">
        <w:t>compensation</w:t>
      </w:r>
      <w:r w:rsidRPr="00924A62">
        <w:t xml:space="preserve">. Alternatively, </w:t>
      </w:r>
      <w:r w:rsidR="008070DD">
        <w:t>funding entities</w:t>
      </w:r>
      <w:r w:rsidRPr="00924A62">
        <w:t xml:space="preserve"> could </w:t>
      </w:r>
      <w:r w:rsidR="00CF736F">
        <w:t xml:space="preserve">more broadly </w:t>
      </w:r>
      <w:r w:rsidRPr="00924A62">
        <w:t>utilize dormant licenses</w:t>
      </w:r>
      <w:r w:rsidR="00CF736F">
        <w:t>,</w:t>
      </w:r>
      <w:r w:rsidRPr="00924A62">
        <w:t xml:space="preserve"> </w:t>
      </w:r>
      <w:r w:rsidR="00CF736F">
        <w:t>which</w:t>
      </w:r>
      <w:r w:rsidR="00CF736F" w:rsidRPr="00924A62">
        <w:t xml:space="preserve"> </w:t>
      </w:r>
      <w:r w:rsidRPr="00924A62">
        <w:t>activate in the event of a</w:t>
      </w:r>
      <w:r w:rsidR="00C467D4">
        <w:t xml:space="preserve"> </w:t>
      </w:r>
      <w:r w:rsidR="00994C45">
        <w:t>pandemic or epidemic</w:t>
      </w:r>
      <w:r w:rsidRPr="00924A62">
        <w:t xml:space="preserve"> and </w:t>
      </w:r>
      <w:r w:rsidR="00BC28AD">
        <w:t xml:space="preserve">which </w:t>
      </w:r>
      <w:r w:rsidRPr="00924A62">
        <w:t>require rights holders to license out technology</w:t>
      </w:r>
      <w:r w:rsidR="002E43D5">
        <w:t>—and, ideally,</w:t>
      </w:r>
      <w:r w:rsidRPr="00924A62">
        <w:t xml:space="preserve"> know-how. By proactively</w:t>
      </w:r>
      <w:r w:rsidR="00087402">
        <w:t xml:space="preserve"> securing such rights</w:t>
      </w:r>
      <w:r w:rsidRPr="00924A62">
        <w:t xml:space="preserve">, </w:t>
      </w:r>
      <w:r w:rsidR="009E1490">
        <w:t>funding entities</w:t>
      </w:r>
      <w:r w:rsidR="009E1490" w:rsidRPr="00924A62">
        <w:t xml:space="preserve"> </w:t>
      </w:r>
      <w:r w:rsidRPr="00924A62">
        <w:t>c</w:t>
      </w:r>
      <w:r w:rsidR="00087402">
        <w:t>ould</w:t>
      </w:r>
      <w:r w:rsidR="00326864">
        <w:t xml:space="preserve"> help</w:t>
      </w:r>
      <w:r w:rsidRPr="00924A62">
        <w:t xml:space="preserve"> reduce shortages</w:t>
      </w:r>
      <w:r w:rsidR="00AF2995">
        <w:t xml:space="preserve">, improve global access to medicines, </w:t>
      </w:r>
      <w:r w:rsidRPr="00924A62">
        <w:t>and save lives.</w:t>
      </w:r>
    </w:p>
    <w:p w14:paraId="2DAA2782" w14:textId="77777777" w:rsidR="00924A62" w:rsidRPr="00924A62" w:rsidRDefault="00924A62" w:rsidP="00924A62">
      <w:pPr>
        <w:rPr>
          <w:rFonts w:eastAsia="Times New Roman"/>
          <w:szCs w:val="24"/>
        </w:rPr>
      </w:pPr>
      <w:r w:rsidRPr="00924A62">
        <w:rPr>
          <w:rFonts w:eastAsia="Times New Roman"/>
          <w:b/>
          <w:bCs/>
          <w:color w:val="000000"/>
          <w:szCs w:val="24"/>
        </w:rPr>
        <w:t>Introduction</w:t>
      </w:r>
    </w:p>
    <w:p w14:paraId="2DF3AC2A" w14:textId="10057894" w:rsidR="00313FBB" w:rsidRDefault="00345E6A" w:rsidP="00313FBB">
      <w:pPr>
        <w:pStyle w:val="Body"/>
      </w:pPr>
      <w:r>
        <w:t>P</w:t>
      </w:r>
      <w:r w:rsidR="00924A62" w:rsidRPr="00924A62">
        <w:t xml:space="preserve">andemics and epidemics pose a substantial threat to </w:t>
      </w:r>
      <w:r w:rsidR="008C6D31">
        <w:t xml:space="preserve">global </w:t>
      </w:r>
      <w:r w:rsidR="00924A62" w:rsidRPr="00924A62">
        <w:t>health care systems.</w:t>
      </w:r>
      <w:r w:rsidR="00E9692C">
        <w:rPr>
          <w:rStyle w:val="FootnoteReference"/>
        </w:rPr>
        <w:footnoteReference w:id="2"/>
      </w:r>
      <w:r w:rsidR="00924A62" w:rsidRPr="00924A62">
        <w:t xml:space="preserve"> When </w:t>
      </w:r>
      <w:r w:rsidR="00DB79B9">
        <w:t>a large-scale</w:t>
      </w:r>
      <w:r w:rsidR="00DB79B9" w:rsidRPr="00924A62">
        <w:t xml:space="preserve"> </w:t>
      </w:r>
      <w:r w:rsidR="00924A62" w:rsidRPr="00924A62">
        <w:t xml:space="preserve">outbreak occurs, time is of the essence to repurpose existing </w:t>
      </w:r>
      <w:r w:rsidR="006D7970">
        <w:t>medicines</w:t>
      </w:r>
      <w:r w:rsidR="006D7970" w:rsidRPr="00924A62">
        <w:t xml:space="preserve"> </w:t>
      </w:r>
      <w:r w:rsidR="00924A62" w:rsidRPr="00924A62">
        <w:t xml:space="preserve">and develop new </w:t>
      </w:r>
      <w:r w:rsidR="00E60AE3">
        <w:t>ones</w:t>
      </w:r>
      <w:r w:rsidR="00E60AE3" w:rsidRPr="00924A62">
        <w:t xml:space="preserve"> </w:t>
      </w:r>
      <w:r w:rsidR="00A243FA">
        <w:t>to</w:t>
      </w:r>
      <w:r w:rsidR="00924A62" w:rsidRPr="00924A62">
        <w:t xml:space="preserve"> prevent or treat </w:t>
      </w:r>
      <w:r w:rsidR="00E94A20">
        <w:t>illness</w:t>
      </w:r>
      <w:r w:rsidR="00924A62" w:rsidRPr="00924A62">
        <w:t xml:space="preserve">, </w:t>
      </w:r>
      <w:r w:rsidR="006D7970">
        <w:t xml:space="preserve">in order </w:t>
      </w:r>
      <w:r w:rsidR="00924A62" w:rsidRPr="00924A62">
        <w:t>to avoid straining hospitals and to reduce deaths. Delays in implementing licensing agreements for relevant intellectual property (IP)</w:t>
      </w:r>
      <w:r w:rsidR="000C3421">
        <w:t xml:space="preserve"> rights</w:t>
      </w:r>
      <w:r w:rsidR="00924A62" w:rsidRPr="00924A62">
        <w:t xml:space="preserve"> and </w:t>
      </w:r>
      <w:r w:rsidR="00C12899">
        <w:t xml:space="preserve">manufacturing </w:t>
      </w:r>
      <w:r w:rsidR="00924A62" w:rsidRPr="00924A62">
        <w:t>know-how can hinder ramping up production of needed drugs. </w:t>
      </w:r>
    </w:p>
    <w:p w14:paraId="18D2E9C5" w14:textId="1065E9A2" w:rsidR="00313FBB" w:rsidRDefault="00924A62" w:rsidP="00313FBB">
      <w:pPr>
        <w:pStyle w:val="Body"/>
        <w:rPr>
          <w:rFonts w:eastAsia="Times New Roman"/>
          <w:color w:val="000000"/>
          <w:szCs w:val="24"/>
        </w:rPr>
      </w:pPr>
      <w:r w:rsidRPr="00924A62">
        <w:rPr>
          <w:rFonts w:eastAsia="Times New Roman"/>
          <w:color w:val="000000"/>
          <w:szCs w:val="24"/>
        </w:rPr>
        <w:t>IP rights play a mixed role in pandemics</w:t>
      </w:r>
      <w:r w:rsidR="009C0284">
        <w:rPr>
          <w:rFonts w:eastAsia="Times New Roman"/>
          <w:color w:val="000000"/>
          <w:szCs w:val="24"/>
        </w:rPr>
        <w:t xml:space="preserve"> and epidemics</w:t>
      </w:r>
      <w:r w:rsidRPr="00924A62">
        <w:rPr>
          <w:rFonts w:eastAsia="Times New Roman"/>
          <w:color w:val="000000"/>
          <w:szCs w:val="24"/>
        </w:rPr>
        <w:t>. Patents provide inventors with a monopoly to make, use, sell, and import their inventions</w:t>
      </w:r>
      <w:r w:rsidR="009E52D1">
        <w:rPr>
          <w:rFonts w:eastAsia="Times New Roman"/>
          <w:color w:val="000000"/>
          <w:szCs w:val="24"/>
        </w:rPr>
        <w:t>.</w:t>
      </w:r>
      <w:r w:rsidR="009E52D1">
        <w:rPr>
          <w:rStyle w:val="FootnoteReference"/>
          <w:rFonts w:eastAsia="Times New Roman"/>
          <w:color w:val="000000"/>
          <w:szCs w:val="24"/>
        </w:rPr>
        <w:footnoteReference w:id="3"/>
      </w:r>
      <w:r w:rsidRPr="00924A62">
        <w:rPr>
          <w:rFonts w:eastAsia="Times New Roman"/>
          <w:color w:val="000000"/>
          <w:szCs w:val="24"/>
        </w:rPr>
        <w:t xml:space="preserve"> </w:t>
      </w:r>
      <w:r w:rsidR="009E52D1">
        <w:rPr>
          <w:rFonts w:eastAsia="Times New Roman"/>
          <w:color w:val="000000"/>
          <w:szCs w:val="24"/>
        </w:rPr>
        <w:t>This</w:t>
      </w:r>
      <w:r w:rsidR="009E52D1" w:rsidRPr="00924A62">
        <w:rPr>
          <w:rFonts w:eastAsia="Times New Roman"/>
          <w:color w:val="000000"/>
          <w:szCs w:val="24"/>
        </w:rPr>
        <w:t xml:space="preserve"> </w:t>
      </w:r>
      <w:r w:rsidR="00E94A20">
        <w:rPr>
          <w:rFonts w:eastAsia="Times New Roman"/>
          <w:color w:val="000000"/>
          <w:szCs w:val="24"/>
        </w:rPr>
        <w:t xml:space="preserve">arguably </w:t>
      </w:r>
      <w:r w:rsidRPr="00924A62">
        <w:rPr>
          <w:rFonts w:eastAsia="Times New Roman"/>
          <w:color w:val="000000"/>
          <w:szCs w:val="24"/>
        </w:rPr>
        <w:t xml:space="preserve">incentivizes pharmaceutical companies to develop new </w:t>
      </w:r>
      <w:r w:rsidR="00E94A20">
        <w:rPr>
          <w:rFonts w:eastAsia="Times New Roman"/>
          <w:color w:val="000000"/>
          <w:szCs w:val="24"/>
        </w:rPr>
        <w:t>medicines</w:t>
      </w:r>
      <w:r w:rsidR="009E52D1">
        <w:rPr>
          <w:rFonts w:eastAsia="Times New Roman"/>
          <w:color w:val="000000"/>
          <w:szCs w:val="24"/>
        </w:rPr>
        <w:t>,</w:t>
      </w:r>
      <w:r w:rsidR="00F73194" w:rsidRPr="00924A62">
        <w:rPr>
          <w:rFonts w:eastAsia="Times New Roman"/>
          <w:color w:val="000000"/>
          <w:szCs w:val="24"/>
        </w:rPr>
        <w:t xml:space="preserve"> </w:t>
      </w:r>
      <w:r w:rsidRPr="00924A62">
        <w:rPr>
          <w:rFonts w:eastAsia="Times New Roman"/>
          <w:color w:val="000000"/>
          <w:szCs w:val="24"/>
        </w:rPr>
        <w:t>and</w:t>
      </w:r>
      <w:r w:rsidR="00801D85">
        <w:rPr>
          <w:rFonts w:eastAsia="Times New Roman"/>
          <w:color w:val="000000"/>
          <w:szCs w:val="24"/>
        </w:rPr>
        <w:t xml:space="preserve"> </w:t>
      </w:r>
      <w:r w:rsidR="00F73194">
        <w:rPr>
          <w:rFonts w:eastAsia="Times New Roman"/>
          <w:color w:val="000000"/>
          <w:szCs w:val="24"/>
        </w:rPr>
        <w:t xml:space="preserve">encourages them to </w:t>
      </w:r>
      <w:r w:rsidRPr="00924A62">
        <w:rPr>
          <w:rFonts w:eastAsia="Times New Roman"/>
          <w:color w:val="000000"/>
          <w:szCs w:val="24"/>
        </w:rPr>
        <w:t>find new uses for existing ones.</w:t>
      </w:r>
      <w:r w:rsidR="001A7ED7">
        <w:rPr>
          <w:rStyle w:val="FootnoteReference"/>
          <w:rFonts w:eastAsia="Times New Roman"/>
          <w:color w:val="000000"/>
          <w:szCs w:val="24"/>
        </w:rPr>
        <w:footnoteReference w:id="4"/>
      </w:r>
      <w:r w:rsidRPr="00924A62">
        <w:rPr>
          <w:rFonts w:eastAsia="Times New Roman"/>
          <w:color w:val="000000"/>
          <w:szCs w:val="24"/>
        </w:rPr>
        <w:t xml:space="preserve"> Trade secrets furthermore encourage drug development by allowing companies to protect valuable know-how regarding </w:t>
      </w:r>
      <w:r w:rsidR="00C36107">
        <w:rPr>
          <w:rFonts w:eastAsia="Times New Roman"/>
          <w:color w:val="000000"/>
          <w:szCs w:val="24"/>
        </w:rPr>
        <w:t>their</w:t>
      </w:r>
      <w:r w:rsidR="00C36107" w:rsidRPr="00924A62">
        <w:rPr>
          <w:rFonts w:eastAsia="Times New Roman"/>
          <w:color w:val="000000"/>
          <w:szCs w:val="24"/>
        </w:rPr>
        <w:t xml:space="preserve"> </w:t>
      </w:r>
      <w:r w:rsidRPr="00924A62">
        <w:rPr>
          <w:rFonts w:eastAsia="Times New Roman"/>
          <w:color w:val="000000"/>
          <w:szCs w:val="24"/>
        </w:rPr>
        <w:t>production. However,</w:t>
      </w:r>
      <w:r w:rsidR="00313FBB">
        <w:rPr>
          <w:rFonts w:eastAsia="Times New Roman"/>
          <w:color w:val="000000"/>
          <w:szCs w:val="24"/>
        </w:rPr>
        <w:t xml:space="preserve"> </w:t>
      </w:r>
      <w:r w:rsidRPr="00924A62">
        <w:rPr>
          <w:rFonts w:eastAsia="Times New Roman"/>
          <w:color w:val="000000"/>
          <w:szCs w:val="24"/>
        </w:rPr>
        <w:t xml:space="preserve">IP rights can also contribute to shortages. When demand surges due to a </w:t>
      </w:r>
      <w:r w:rsidR="00E5677F">
        <w:rPr>
          <w:rFonts w:eastAsia="Times New Roman"/>
          <w:color w:val="000000"/>
          <w:szCs w:val="24"/>
        </w:rPr>
        <w:t>large-scale outbreak</w:t>
      </w:r>
      <w:r w:rsidRPr="00924A62">
        <w:rPr>
          <w:rFonts w:eastAsia="Times New Roman"/>
          <w:color w:val="000000"/>
          <w:szCs w:val="24"/>
        </w:rPr>
        <w:t xml:space="preserve">, there is a lag time before companies can </w:t>
      </w:r>
      <w:r w:rsidR="00FA4488">
        <w:rPr>
          <w:rFonts w:eastAsia="Times New Roman"/>
          <w:color w:val="000000"/>
          <w:szCs w:val="24"/>
        </w:rPr>
        <w:t>scale up production</w:t>
      </w:r>
      <w:r w:rsidRPr="00924A62">
        <w:rPr>
          <w:rFonts w:eastAsia="Times New Roman"/>
          <w:color w:val="000000"/>
          <w:szCs w:val="24"/>
        </w:rPr>
        <w:t>.</w:t>
      </w:r>
      <w:bookmarkStart w:id="0" w:name="_Ref100784225"/>
      <w:r w:rsidR="00982D1F">
        <w:rPr>
          <w:rStyle w:val="FootnoteReference"/>
          <w:rFonts w:eastAsia="Times New Roman"/>
          <w:color w:val="000000"/>
          <w:szCs w:val="24"/>
        </w:rPr>
        <w:footnoteReference w:id="5"/>
      </w:r>
      <w:bookmarkEnd w:id="0"/>
      <w:r w:rsidRPr="00924A62">
        <w:rPr>
          <w:rFonts w:eastAsia="Times New Roman"/>
          <w:color w:val="000000"/>
          <w:szCs w:val="24"/>
        </w:rPr>
        <w:t xml:space="preserve"> </w:t>
      </w:r>
      <w:r w:rsidR="00AC6464">
        <w:rPr>
          <w:rFonts w:eastAsia="Times New Roman"/>
          <w:color w:val="000000"/>
          <w:szCs w:val="24"/>
        </w:rPr>
        <w:t>Although</w:t>
      </w:r>
      <w:r w:rsidRPr="00924A62">
        <w:rPr>
          <w:rFonts w:eastAsia="Times New Roman"/>
          <w:color w:val="000000"/>
          <w:szCs w:val="24"/>
        </w:rPr>
        <w:t xml:space="preserve"> licens</w:t>
      </w:r>
      <w:r w:rsidR="00AC6464">
        <w:rPr>
          <w:rFonts w:eastAsia="Times New Roman"/>
          <w:color w:val="000000"/>
          <w:szCs w:val="24"/>
        </w:rPr>
        <w:t>ing</w:t>
      </w:r>
      <w:r w:rsidRPr="00924A62">
        <w:rPr>
          <w:rFonts w:eastAsia="Times New Roman"/>
          <w:color w:val="000000"/>
          <w:szCs w:val="24"/>
        </w:rPr>
        <w:t xml:space="preserve"> out proprietary technology to third</w:t>
      </w:r>
      <w:r w:rsidR="00AC6464">
        <w:rPr>
          <w:rFonts w:eastAsia="Times New Roman"/>
          <w:color w:val="000000"/>
          <w:szCs w:val="24"/>
        </w:rPr>
        <w:t>-party manufacturers</w:t>
      </w:r>
      <w:r w:rsidRPr="00924A62">
        <w:rPr>
          <w:rFonts w:eastAsia="Times New Roman"/>
          <w:color w:val="000000"/>
          <w:szCs w:val="24"/>
        </w:rPr>
        <w:t xml:space="preserve"> would help speed up production</w:t>
      </w:r>
      <w:r w:rsidR="00AC6464">
        <w:rPr>
          <w:rFonts w:eastAsia="Times New Roman"/>
          <w:color w:val="000000"/>
          <w:szCs w:val="24"/>
        </w:rPr>
        <w:t>, companies may nevertheless refuse</w:t>
      </w:r>
      <w:r w:rsidRPr="00924A62">
        <w:rPr>
          <w:rFonts w:eastAsia="Times New Roman"/>
          <w:color w:val="000000"/>
          <w:szCs w:val="24"/>
        </w:rPr>
        <w:t xml:space="preserve">. They might </w:t>
      </w:r>
      <w:r w:rsidR="009F0C49">
        <w:rPr>
          <w:rFonts w:eastAsia="Times New Roman"/>
          <w:color w:val="000000"/>
          <w:szCs w:val="24"/>
        </w:rPr>
        <w:t xml:space="preserve">also </w:t>
      </w:r>
      <w:r w:rsidRPr="00924A62">
        <w:rPr>
          <w:rFonts w:eastAsia="Times New Roman"/>
          <w:color w:val="000000"/>
          <w:szCs w:val="24"/>
        </w:rPr>
        <w:t>choose to sell the</w:t>
      </w:r>
      <w:r w:rsidR="007E5B9E">
        <w:rPr>
          <w:rFonts w:eastAsia="Times New Roman"/>
          <w:color w:val="000000"/>
          <w:szCs w:val="24"/>
        </w:rPr>
        <w:t xml:space="preserve">se </w:t>
      </w:r>
      <w:r w:rsidR="00607E29">
        <w:rPr>
          <w:rFonts w:eastAsia="Times New Roman"/>
          <w:color w:val="000000"/>
          <w:szCs w:val="24"/>
        </w:rPr>
        <w:t>medicines</w:t>
      </w:r>
      <w:r w:rsidRPr="00924A62">
        <w:rPr>
          <w:rFonts w:eastAsia="Times New Roman"/>
          <w:color w:val="000000"/>
          <w:szCs w:val="24"/>
        </w:rPr>
        <w:t xml:space="preserve"> at exorbitant prices, or delay making the</w:t>
      </w:r>
      <w:r w:rsidR="007E5B9E">
        <w:rPr>
          <w:rFonts w:eastAsia="Times New Roman"/>
          <w:color w:val="000000"/>
          <w:szCs w:val="24"/>
        </w:rPr>
        <w:t>m</w:t>
      </w:r>
      <w:r w:rsidRPr="00924A62">
        <w:rPr>
          <w:rFonts w:eastAsia="Times New Roman"/>
          <w:color w:val="000000"/>
          <w:szCs w:val="24"/>
        </w:rPr>
        <w:t xml:space="preserve"> available to low- and middle-income countries in order to prioritize orders for higher-paying customers. </w:t>
      </w:r>
    </w:p>
    <w:p w14:paraId="6699FD84" w14:textId="780E9A54" w:rsidR="00925D9A" w:rsidRDefault="00E94A20" w:rsidP="00313FBB">
      <w:pPr>
        <w:pStyle w:val="Body"/>
        <w:rPr>
          <w:rFonts w:eastAsia="Times New Roman"/>
          <w:color w:val="000000"/>
          <w:szCs w:val="24"/>
        </w:rPr>
      </w:pPr>
      <w:r>
        <w:rPr>
          <w:rFonts w:eastAsia="Times New Roman"/>
          <w:color w:val="000000"/>
          <w:szCs w:val="24"/>
        </w:rPr>
        <w:t>G</w:t>
      </w:r>
      <w:r w:rsidR="00924A62" w:rsidRPr="00924A62">
        <w:rPr>
          <w:rFonts w:eastAsia="Times New Roman"/>
          <w:color w:val="000000"/>
          <w:szCs w:val="24"/>
        </w:rPr>
        <w:t>overnments</w:t>
      </w:r>
      <w:r>
        <w:rPr>
          <w:rFonts w:eastAsia="Times New Roman"/>
          <w:color w:val="000000"/>
          <w:szCs w:val="24"/>
        </w:rPr>
        <w:t xml:space="preserve"> in high-income countries</w:t>
      </w:r>
      <w:r w:rsidR="00924A62" w:rsidRPr="00924A62">
        <w:rPr>
          <w:rFonts w:eastAsia="Times New Roman"/>
          <w:color w:val="000000"/>
          <w:szCs w:val="24"/>
        </w:rPr>
        <w:t xml:space="preserve"> provide </w:t>
      </w:r>
      <w:r w:rsidR="00DA5357">
        <w:rPr>
          <w:rFonts w:eastAsia="Times New Roman"/>
          <w:color w:val="000000"/>
          <w:szCs w:val="24"/>
        </w:rPr>
        <w:t xml:space="preserve">pharmaceutical companies with </w:t>
      </w:r>
      <w:r w:rsidR="00924A62" w:rsidRPr="00924A62">
        <w:rPr>
          <w:rFonts w:eastAsia="Times New Roman"/>
          <w:color w:val="000000"/>
          <w:szCs w:val="24"/>
        </w:rPr>
        <w:t>substantial funding, both for pandemic</w:t>
      </w:r>
      <w:r w:rsidR="00C24B6E">
        <w:rPr>
          <w:rFonts w:eastAsia="Times New Roman"/>
          <w:color w:val="000000"/>
          <w:szCs w:val="24"/>
        </w:rPr>
        <w:t xml:space="preserve"> and epidemic</w:t>
      </w:r>
      <w:r w:rsidR="00924A62" w:rsidRPr="00924A62">
        <w:rPr>
          <w:rFonts w:eastAsia="Times New Roman"/>
          <w:color w:val="000000"/>
          <w:szCs w:val="24"/>
        </w:rPr>
        <w:t xml:space="preserve">-specific </w:t>
      </w:r>
      <w:r w:rsidR="00DA5357">
        <w:rPr>
          <w:rFonts w:eastAsia="Times New Roman"/>
          <w:color w:val="000000"/>
          <w:szCs w:val="24"/>
        </w:rPr>
        <w:t xml:space="preserve">research and </w:t>
      </w:r>
      <w:r w:rsidR="00924A62" w:rsidRPr="00924A62">
        <w:rPr>
          <w:rFonts w:eastAsia="Times New Roman"/>
          <w:color w:val="000000"/>
          <w:szCs w:val="24"/>
        </w:rPr>
        <w:t>development</w:t>
      </w:r>
      <w:r w:rsidR="00DA5357">
        <w:rPr>
          <w:rFonts w:eastAsia="Times New Roman"/>
          <w:color w:val="000000"/>
          <w:szCs w:val="24"/>
        </w:rPr>
        <w:t xml:space="preserve"> (R&amp;D)</w:t>
      </w:r>
      <w:r w:rsidR="00DC4036">
        <w:rPr>
          <w:rFonts w:eastAsia="Times New Roman"/>
          <w:color w:val="000000"/>
          <w:szCs w:val="24"/>
        </w:rPr>
        <w:t>,</w:t>
      </w:r>
      <w:r w:rsidR="00924A62" w:rsidRPr="00924A62">
        <w:rPr>
          <w:rFonts w:eastAsia="Times New Roman"/>
          <w:color w:val="000000"/>
          <w:szCs w:val="24"/>
        </w:rPr>
        <w:t xml:space="preserve"> </w:t>
      </w:r>
      <w:r w:rsidR="00DC4036">
        <w:rPr>
          <w:rFonts w:eastAsia="Times New Roman"/>
          <w:color w:val="000000"/>
          <w:szCs w:val="24"/>
        </w:rPr>
        <w:t xml:space="preserve">as well </w:t>
      </w:r>
      <w:r w:rsidR="0086623A">
        <w:rPr>
          <w:rFonts w:eastAsia="Times New Roman"/>
          <w:color w:val="000000"/>
          <w:szCs w:val="24"/>
        </w:rPr>
        <w:t xml:space="preserve">more </w:t>
      </w:r>
      <w:r w:rsidR="0086623A">
        <w:rPr>
          <w:rFonts w:eastAsia="Times New Roman"/>
          <w:color w:val="000000"/>
          <w:szCs w:val="24"/>
        </w:rPr>
        <w:lastRenderedPageBreak/>
        <w:t>general R&amp;D</w:t>
      </w:r>
      <w:r w:rsidR="00924A62" w:rsidRPr="00924A62">
        <w:rPr>
          <w:rFonts w:eastAsia="Times New Roman"/>
          <w:color w:val="000000"/>
          <w:szCs w:val="24"/>
        </w:rPr>
        <w:t>.</w:t>
      </w:r>
      <w:r w:rsidR="00341CEE">
        <w:rPr>
          <w:rStyle w:val="FootnoteReference"/>
          <w:rFonts w:eastAsia="Times New Roman"/>
          <w:color w:val="000000"/>
          <w:szCs w:val="24"/>
        </w:rPr>
        <w:footnoteReference w:id="6"/>
      </w:r>
      <w:r w:rsidR="00924A62" w:rsidRPr="00924A62">
        <w:rPr>
          <w:rFonts w:eastAsia="Times New Roman"/>
          <w:color w:val="000000"/>
          <w:szCs w:val="24"/>
        </w:rPr>
        <w:t xml:space="preserve"> Yet, </w:t>
      </w:r>
      <w:r w:rsidR="00F72EE2">
        <w:rPr>
          <w:rFonts w:eastAsia="Times New Roman"/>
          <w:color w:val="000000"/>
          <w:szCs w:val="24"/>
        </w:rPr>
        <w:t>they</w:t>
      </w:r>
      <w:r w:rsidR="00F72EE2" w:rsidRPr="00924A62">
        <w:rPr>
          <w:rFonts w:eastAsia="Times New Roman"/>
          <w:color w:val="000000"/>
          <w:szCs w:val="24"/>
        </w:rPr>
        <w:t xml:space="preserve"> </w:t>
      </w:r>
      <w:r w:rsidR="00924A62" w:rsidRPr="00924A62">
        <w:rPr>
          <w:rFonts w:eastAsia="Times New Roman"/>
          <w:color w:val="000000"/>
          <w:szCs w:val="24"/>
        </w:rPr>
        <w:t xml:space="preserve">typically fail to secure </w:t>
      </w:r>
      <w:r w:rsidR="00E25AC4">
        <w:rPr>
          <w:rFonts w:eastAsia="Times New Roman"/>
          <w:color w:val="000000"/>
          <w:szCs w:val="24"/>
        </w:rPr>
        <w:t xml:space="preserve">enforceable </w:t>
      </w:r>
      <w:r w:rsidR="00924A62" w:rsidRPr="00924A62">
        <w:rPr>
          <w:rFonts w:eastAsia="Times New Roman"/>
          <w:color w:val="000000"/>
          <w:szCs w:val="24"/>
        </w:rPr>
        <w:t xml:space="preserve">promises from the funding recipient to ensuring that life-saving drugs are produced in sufficient quantity. Nor do such contracts generally address whether the final drug will be provided to low-income countries in adequate quantities </w:t>
      </w:r>
      <w:r w:rsidR="00A80556">
        <w:rPr>
          <w:rFonts w:eastAsia="Times New Roman"/>
          <w:color w:val="000000"/>
          <w:szCs w:val="24"/>
        </w:rPr>
        <w:t>or</w:t>
      </w:r>
      <w:r w:rsidR="00A80556" w:rsidRPr="00924A62">
        <w:rPr>
          <w:rFonts w:eastAsia="Times New Roman"/>
          <w:color w:val="000000"/>
          <w:szCs w:val="24"/>
        </w:rPr>
        <w:t xml:space="preserve"> </w:t>
      </w:r>
      <w:r w:rsidR="00924A62" w:rsidRPr="00924A62">
        <w:rPr>
          <w:rFonts w:eastAsia="Times New Roman"/>
          <w:color w:val="000000"/>
          <w:szCs w:val="24"/>
        </w:rPr>
        <w:t xml:space="preserve">at an affordable cost. This can lead to global shortages of tax-payer-funded drugs at a time when they are most needed. </w:t>
      </w:r>
      <w:r w:rsidR="00925D9A">
        <w:rPr>
          <w:rFonts w:eastAsia="Times New Roman"/>
          <w:color w:val="000000"/>
          <w:szCs w:val="24"/>
        </w:rPr>
        <w:t xml:space="preserve">Existing measures under </w:t>
      </w:r>
      <w:r w:rsidR="00025AF1">
        <w:rPr>
          <w:rFonts w:eastAsia="Times New Roman"/>
          <w:color w:val="000000"/>
          <w:szCs w:val="24"/>
        </w:rPr>
        <w:t>t</w:t>
      </w:r>
      <w:r w:rsidR="00025AF1" w:rsidRPr="00924A62">
        <w:t>he Agreement on Trade-Related Aspects of Intellectual Property Rights</w:t>
      </w:r>
      <w:r w:rsidR="00025AF1">
        <w:t xml:space="preserve"> (TRIPS)</w:t>
      </w:r>
      <w:r w:rsidR="00925D9A">
        <w:rPr>
          <w:rFonts w:eastAsia="Times New Roman"/>
          <w:color w:val="000000"/>
          <w:szCs w:val="24"/>
        </w:rPr>
        <w:t xml:space="preserve"> have proven to be inadequate for addressing these problems.</w:t>
      </w:r>
    </w:p>
    <w:p w14:paraId="6558F132" w14:textId="0CE901F9" w:rsidR="00313FBB" w:rsidRDefault="00924A62" w:rsidP="00313FBB">
      <w:pPr>
        <w:pStyle w:val="Body"/>
        <w:rPr>
          <w:rFonts w:eastAsia="Times New Roman"/>
          <w:color w:val="000000"/>
          <w:szCs w:val="24"/>
        </w:rPr>
      </w:pPr>
      <w:r w:rsidRPr="00924A62">
        <w:rPr>
          <w:rFonts w:eastAsia="Times New Roman"/>
          <w:color w:val="000000"/>
          <w:szCs w:val="24"/>
        </w:rPr>
        <w:t xml:space="preserve">In this chapter, we </w:t>
      </w:r>
      <w:r w:rsidR="00BD0533">
        <w:rPr>
          <w:rFonts w:eastAsia="Times New Roman"/>
          <w:color w:val="000000"/>
          <w:szCs w:val="24"/>
        </w:rPr>
        <w:t>argue</w:t>
      </w:r>
      <w:r w:rsidR="00BD0533" w:rsidRPr="00924A62">
        <w:rPr>
          <w:rFonts w:eastAsia="Times New Roman"/>
          <w:color w:val="000000"/>
          <w:szCs w:val="24"/>
        </w:rPr>
        <w:t xml:space="preserve"> </w:t>
      </w:r>
      <w:r w:rsidRPr="00924A62">
        <w:rPr>
          <w:rFonts w:eastAsia="Times New Roman"/>
          <w:color w:val="000000"/>
          <w:szCs w:val="24"/>
        </w:rPr>
        <w:t>that when governments and non-governmental entities fund research for pandemic</w:t>
      </w:r>
      <w:r w:rsidR="00B63C14">
        <w:rPr>
          <w:rFonts w:eastAsia="Times New Roman"/>
          <w:color w:val="000000"/>
          <w:szCs w:val="24"/>
        </w:rPr>
        <w:t xml:space="preserve"> and epidemic</w:t>
      </w:r>
      <w:r w:rsidRPr="00924A62">
        <w:rPr>
          <w:rFonts w:eastAsia="Times New Roman"/>
          <w:color w:val="000000"/>
          <w:szCs w:val="24"/>
        </w:rPr>
        <w:t>-specific drug development, that they should</w:t>
      </w:r>
      <w:r w:rsidR="0070618D">
        <w:rPr>
          <w:rFonts w:eastAsia="Times New Roman"/>
          <w:color w:val="000000"/>
          <w:szCs w:val="24"/>
        </w:rPr>
        <w:t xml:space="preserve"> use</w:t>
      </w:r>
      <w:r w:rsidRPr="00924A62">
        <w:rPr>
          <w:rFonts w:eastAsia="Times New Roman"/>
          <w:color w:val="000000"/>
          <w:szCs w:val="24"/>
        </w:rPr>
        <w:t xml:space="preserve"> contractual provisions to provide safeguards</w:t>
      </w:r>
      <w:r w:rsidR="006D35A9">
        <w:rPr>
          <w:rFonts w:eastAsia="Times New Roman"/>
          <w:color w:val="000000"/>
          <w:szCs w:val="24"/>
        </w:rPr>
        <w:t xml:space="preserve"> to the public</w:t>
      </w:r>
      <w:r w:rsidRPr="00924A62">
        <w:rPr>
          <w:rFonts w:eastAsia="Times New Roman"/>
          <w:color w:val="000000"/>
          <w:szCs w:val="24"/>
        </w:rPr>
        <w:t xml:space="preserve">. </w:t>
      </w:r>
      <w:r w:rsidR="00BD0533">
        <w:rPr>
          <w:rFonts w:eastAsia="Times New Roman"/>
          <w:color w:val="000000"/>
          <w:szCs w:val="24"/>
        </w:rPr>
        <w:t>Funding contracts</w:t>
      </w:r>
      <w:r w:rsidR="00BD0533" w:rsidRPr="00924A62">
        <w:rPr>
          <w:rFonts w:eastAsia="Times New Roman"/>
          <w:color w:val="000000"/>
          <w:szCs w:val="24"/>
        </w:rPr>
        <w:t xml:space="preserve"> </w:t>
      </w:r>
      <w:r w:rsidR="00566DC9">
        <w:rPr>
          <w:rFonts w:eastAsia="Times New Roman"/>
          <w:color w:val="000000"/>
          <w:szCs w:val="24"/>
        </w:rPr>
        <w:t>should</w:t>
      </w:r>
      <w:r w:rsidR="00566DC9" w:rsidRPr="00924A62">
        <w:rPr>
          <w:rFonts w:eastAsia="Times New Roman"/>
          <w:color w:val="000000"/>
          <w:szCs w:val="24"/>
        </w:rPr>
        <w:t xml:space="preserve"> </w:t>
      </w:r>
      <w:r w:rsidRPr="00924A62">
        <w:rPr>
          <w:rFonts w:eastAsia="Times New Roman"/>
          <w:color w:val="000000"/>
          <w:szCs w:val="24"/>
        </w:rPr>
        <w:t xml:space="preserve">require the IP rights holder to </w:t>
      </w:r>
      <w:r w:rsidR="00F325EA">
        <w:rPr>
          <w:rFonts w:eastAsia="Times New Roman"/>
          <w:color w:val="000000"/>
          <w:szCs w:val="24"/>
        </w:rPr>
        <w:t>commit</w:t>
      </w:r>
      <w:r w:rsidR="00F325EA" w:rsidRPr="00924A62">
        <w:rPr>
          <w:rFonts w:eastAsia="Times New Roman"/>
          <w:color w:val="000000"/>
          <w:szCs w:val="24"/>
        </w:rPr>
        <w:t xml:space="preserve"> </w:t>
      </w:r>
      <w:r w:rsidRPr="00924A62">
        <w:rPr>
          <w:rFonts w:eastAsia="Times New Roman"/>
          <w:color w:val="000000"/>
          <w:szCs w:val="24"/>
        </w:rPr>
        <w:t>to produc</w:t>
      </w:r>
      <w:r w:rsidR="00F325EA">
        <w:rPr>
          <w:rFonts w:eastAsia="Times New Roman"/>
          <w:color w:val="000000"/>
          <w:szCs w:val="24"/>
        </w:rPr>
        <w:t>ing</w:t>
      </w:r>
      <w:r w:rsidRPr="00924A62">
        <w:rPr>
          <w:rFonts w:eastAsia="Times New Roman"/>
          <w:color w:val="000000"/>
          <w:szCs w:val="24"/>
        </w:rPr>
        <w:t xml:space="preserve"> sufficient</w:t>
      </w:r>
      <w:r w:rsidR="001F1826">
        <w:rPr>
          <w:rFonts w:eastAsia="Times New Roman"/>
          <w:color w:val="000000"/>
          <w:szCs w:val="24"/>
        </w:rPr>
        <w:t xml:space="preserve"> </w:t>
      </w:r>
      <w:r w:rsidRPr="00924A62">
        <w:rPr>
          <w:rFonts w:eastAsia="Times New Roman"/>
          <w:color w:val="000000"/>
          <w:szCs w:val="24"/>
        </w:rPr>
        <w:t xml:space="preserve">quantities of any resulting life-saving drug in the event of a public health emergency. Were a shortage to arise, the relevant pharmaceutical company would be </w:t>
      </w:r>
      <w:r w:rsidR="00E94A20">
        <w:rPr>
          <w:rFonts w:eastAsia="Times New Roman"/>
          <w:color w:val="000000"/>
          <w:szCs w:val="24"/>
        </w:rPr>
        <w:t xml:space="preserve">further </w:t>
      </w:r>
      <w:r w:rsidRPr="00924A62">
        <w:rPr>
          <w:rFonts w:eastAsia="Times New Roman"/>
          <w:color w:val="000000"/>
          <w:szCs w:val="24"/>
        </w:rPr>
        <w:t xml:space="preserve">required to cooperate with willing third-party drug manufacturers to increase supply, in exchange for compensation. </w:t>
      </w:r>
      <w:r w:rsidR="00305C12">
        <w:rPr>
          <w:rFonts w:eastAsia="Times New Roman"/>
          <w:color w:val="000000"/>
          <w:szCs w:val="24"/>
        </w:rPr>
        <w:t>Complementarily</w:t>
      </w:r>
      <w:r w:rsidR="00E94A20">
        <w:rPr>
          <w:rFonts w:eastAsia="Times New Roman"/>
          <w:color w:val="000000"/>
          <w:szCs w:val="24"/>
        </w:rPr>
        <w:t>, we</w:t>
      </w:r>
      <w:r w:rsidR="00E94A20" w:rsidRPr="00924A62">
        <w:rPr>
          <w:rFonts w:eastAsia="Times New Roman"/>
          <w:color w:val="000000"/>
          <w:szCs w:val="24"/>
        </w:rPr>
        <w:t xml:space="preserve"> </w:t>
      </w:r>
      <w:r w:rsidRPr="00924A62">
        <w:rPr>
          <w:rFonts w:eastAsia="Times New Roman"/>
          <w:color w:val="000000"/>
          <w:szCs w:val="24"/>
        </w:rPr>
        <w:t>argue that medical research funders should contractually secure promises to ensure fair pricing and access to life-saving drugs in low- and middle-income countries during public health emergencies.  </w:t>
      </w:r>
    </w:p>
    <w:p w14:paraId="5B30E7ED" w14:textId="7FE75754" w:rsidR="00924A62" w:rsidRPr="00924A62" w:rsidRDefault="00924A62" w:rsidP="004E0EF3">
      <w:pPr>
        <w:pStyle w:val="Body"/>
      </w:pPr>
      <w:r w:rsidRPr="00924A62">
        <w:rPr>
          <w:rFonts w:eastAsia="Times New Roman"/>
          <w:color w:val="000000"/>
          <w:szCs w:val="24"/>
        </w:rPr>
        <w:t xml:space="preserve">We additionally propose that funders of medical research utilize a contractual mechanism called a “dormant license,” which could impose some, or all, of the obligations outlined above. These licenses would be negotiated ahead of </w:t>
      </w:r>
      <w:r w:rsidR="00DF7187">
        <w:rPr>
          <w:rFonts w:eastAsia="Times New Roman"/>
          <w:color w:val="000000"/>
          <w:szCs w:val="24"/>
        </w:rPr>
        <w:t xml:space="preserve">crisis </w:t>
      </w:r>
      <w:r w:rsidRPr="00924A62">
        <w:rPr>
          <w:rFonts w:eastAsia="Times New Roman"/>
          <w:color w:val="000000"/>
          <w:szCs w:val="24"/>
        </w:rPr>
        <w:t>situations and activate automatically when a pandemic or epidemic is declared to ensure an adequate supply of needed drugs.</w:t>
      </w:r>
    </w:p>
    <w:p w14:paraId="36DA0CDA" w14:textId="407A2E09" w:rsidR="00924A62" w:rsidRPr="00924A62" w:rsidRDefault="00924A62" w:rsidP="004E0EF3">
      <w:pPr>
        <w:pStyle w:val="Heading1"/>
        <w:rPr>
          <w:rFonts w:eastAsia="Times New Roman"/>
        </w:rPr>
      </w:pPr>
      <w:r w:rsidRPr="00924A62">
        <w:rPr>
          <w:rFonts w:eastAsia="Times New Roman"/>
        </w:rPr>
        <w:t>I. Drug Scarcity and Inequitable Allocation of Medicines in Context</w:t>
      </w:r>
    </w:p>
    <w:p w14:paraId="588308F8" w14:textId="7622D8BB" w:rsidR="005644DC" w:rsidRDefault="00924A62" w:rsidP="004E0EF3">
      <w:pPr>
        <w:pStyle w:val="Body"/>
      </w:pPr>
      <w:r w:rsidRPr="00924A62">
        <w:t xml:space="preserve">The </w:t>
      </w:r>
      <w:r w:rsidR="007B23DF">
        <w:t>global</w:t>
      </w:r>
      <w:r w:rsidR="007B23DF" w:rsidRPr="00924A62">
        <w:t xml:space="preserve"> </w:t>
      </w:r>
      <w:r w:rsidRPr="00924A62">
        <w:t>allocation of critically</w:t>
      </w:r>
      <w:r w:rsidR="003B2C4E">
        <w:t xml:space="preserve"> </w:t>
      </w:r>
      <w:r w:rsidRPr="00924A62">
        <w:t xml:space="preserve">needed medicines has long been marked by profound asymmetries. </w:t>
      </w:r>
      <w:r w:rsidR="00F62FB9">
        <w:t>High-income</w:t>
      </w:r>
      <w:r w:rsidR="00F62FB9" w:rsidRPr="00924A62">
        <w:t xml:space="preserve"> </w:t>
      </w:r>
      <w:r w:rsidRPr="00924A62">
        <w:t xml:space="preserve">countries typically </w:t>
      </w:r>
      <w:r w:rsidR="00FE1459">
        <w:t>obtain</w:t>
      </w:r>
      <w:r w:rsidRPr="00924A62">
        <w:t xml:space="preserve"> greater supplies to the detriment of lower-income countries, even </w:t>
      </w:r>
      <w:r w:rsidR="00FE1459">
        <w:t>though the latter group might be disproportionately impacted</w:t>
      </w:r>
      <w:r w:rsidR="00F46875">
        <w:t xml:space="preserve"> by a disease</w:t>
      </w:r>
      <w:r w:rsidRPr="00924A62">
        <w:t xml:space="preserve">. </w:t>
      </w:r>
      <w:r w:rsidR="00C278A7">
        <w:t>This trend is exacerbated</w:t>
      </w:r>
      <w:r w:rsidRPr="00924A62">
        <w:t xml:space="preserve"> when </w:t>
      </w:r>
      <w:r w:rsidR="00A93FE4">
        <w:t xml:space="preserve">severe public health crises cause </w:t>
      </w:r>
      <w:r w:rsidRPr="00924A62">
        <w:t>a spike in demand</w:t>
      </w:r>
      <w:r w:rsidR="00A93FE4">
        <w:t xml:space="preserve"> for drugs</w:t>
      </w:r>
      <w:r w:rsidRPr="00924A62">
        <w:t xml:space="preserve">, as is the case with pandemics and epidemics. COVID-19 </w:t>
      </w:r>
      <w:r w:rsidR="005A2FB1">
        <w:t xml:space="preserve">is the </w:t>
      </w:r>
      <w:r w:rsidR="007B4C51">
        <w:t>most recent</w:t>
      </w:r>
      <w:r w:rsidRPr="00924A62">
        <w:t xml:space="preserve"> </w:t>
      </w:r>
      <w:r w:rsidR="007B4C51">
        <w:t>of</w:t>
      </w:r>
      <w:r w:rsidR="007B4C51" w:rsidRPr="00924A62">
        <w:t xml:space="preserve"> </w:t>
      </w:r>
      <w:r w:rsidRPr="00924A62">
        <w:t xml:space="preserve">a series of outbreaks in which </w:t>
      </w:r>
      <w:r w:rsidR="005A2FB1">
        <w:t xml:space="preserve">the Global North </w:t>
      </w:r>
      <w:r w:rsidR="007B4C51">
        <w:t xml:space="preserve">purchased </w:t>
      </w:r>
      <w:r w:rsidRPr="00924A62">
        <w:t xml:space="preserve">most of the </w:t>
      </w:r>
      <w:r w:rsidR="007B4C51">
        <w:t>treatment and vaccine supply</w:t>
      </w:r>
      <w:r w:rsidRPr="00924A62">
        <w:t>.</w:t>
      </w:r>
      <w:bookmarkStart w:id="1" w:name="_Ref101250307"/>
      <w:r w:rsidR="006B40BA">
        <w:rPr>
          <w:rStyle w:val="FootnoteReference"/>
        </w:rPr>
        <w:footnoteReference w:id="7"/>
      </w:r>
      <w:bookmarkEnd w:id="1"/>
    </w:p>
    <w:p w14:paraId="2AB2C886" w14:textId="7B2997C1" w:rsidR="00F65854" w:rsidRPr="00D74442" w:rsidRDefault="001C69D6" w:rsidP="005644DC">
      <w:pPr>
        <w:pStyle w:val="Body"/>
        <w:rPr>
          <w:rFonts w:eastAsia="Times New Roman"/>
          <w:szCs w:val="24"/>
        </w:rPr>
      </w:pPr>
      <w:r>
        <w:t xml:space="preserve">Market-based </w:t>
      </w:r>
      <w:r w:rsidR="008B6C69">
        <w:t>dynamics drive this inequality.</w:t>
      </w:r>
      <w:r w:rsidR="00924A62" w:rsidRPr="00924A62">
        <w:t xml:space="preserve"> </w:t>
      </w:r>
      <w:r w:rsidR="00515F08">
        <w:t>High-income</w:t>
      </w:r>
      <w:r w:rsidR="00515F08" w:rsidRPr="00924A62">
        <w:t xml:space="preserve"> </w:t>
      </w:r>
      <w:r w:rsidR="00924A62" w:rsidRPr="00924A62">
        <w:t>countries have both the resources and the bargaining power to capture much of the initial supply of pandemic</w:t>
      </w:r>
      <w:r w:rsidR="00117AA0">
        <w:t xml:space="preserve"> and epidemic</w:t>
      </w:r>
      <w:r w:rsidR="00924A62" w:rsidRPr="00924A62">
        <w:t xml:space="preserve"> drugs through bilateral channels. During the COVID-19 and 2009 swine </w:t>
      </w:r>
      <w:r w:rsidR="007E6D1F">
        <w:t>f</w:t>
      </w:r>
      <w:r w:rsidR="00924A62" w:rsidRPr="00924A62">
        <w:t>lu pandemic</w:t>
      </w:r>
      <w:r w:rsidR="00212A94">
        <w:t xml:space="preserve">, </w:t>
      </w:r>
      <w:r w:rsidR="00924A62" w:rsidRPr="00924A62">
        <w:t>these countries used advanced purchase agreements</w:t>
      </w:r>
      <w:r w:rsidR="00C546E6">
        <w:t xml:space="preserve"> with individual pharmaceutical companies</w:t>
      </w:r>
      <w:r w:rsidR="00924A62" w:rsidRPr="00924A62">
        <w:t xml:space="preserve"> to </w:t>
      </w:r>
      <w:r w:rsidR="00C546E6">
        <w:t xml:space="preserve">purchase vaccine doses </w:t>
      </w:r>
      <w:r w:rsidR="00924A62" w:rsidRPr="00924A62">
        <w:t>before any were produced</w:t>
      </w:r>
      <w:r w:rsidR="00C546E6">
        <w:t>.</w:t>
      </w:r>
      <w:bookmarkStart w:id="2" w:name="_Ref101250435"/>
      <w:r w:rsidR="0014690C">
        <w:rPr>
          <w:rStyle w:val="FootnoteReference"/>
          <w:color w:val="000000"/>
        </w:rPr>
        <w:footnoteReference w:id="8"/>
      </w:r>
      <w:bookmarkEnd w:id="2"/>
      <w:r w:rsidR="00924A62" w:rsidRPr="00924A62">
        <w:t xml:space="preserve"> </w:t>
      </w:r>
      <w:r w:rsidR="00C546E6">
        <w:t>S</w:t>
      </w:r>
      <w:r w:rsidR="00924A62" w:rsidRPr="00924A62">
        <w:t xml:space="preserve">ome </w:t>
      </w:r>
      <w:r w:rsidR="0047336C" w:rsidRPr="00924A62">
        <w:t>order</w:t>
      </w:r>
      <w:r w:rsidR="0047336C">
        <w:t>ed</w:t>
      </w:r>
      <w:r w:rsidR="0047336C" w:rsidRPr="00924A62">
        <w:t xml:space="preserve"> </w:t>
      </w:r>
      <w:r w:rsidR="00924A62" w:rsidRPr="00924A62">
        <w:t xml:space="preserve">far more </w:t>
      </w:r>
      <w:r w:rsidR="0047336C">
        <w:t>doses</w:t>
      </w:r>
      <w:r w:rsidR="0047336C" w:rsidRPr="00924A62">
        <w:t xml:space="preserve"> </w:t>
      </w:r>
      <w:r w:rsidR="00924A62" w:rsidRPr="00924A62">
        <w:t>than necessary to vaccinate their domestic populations.</w:t>
      </w:r>
      <w:r w:rsidR="00CE799D">
        <w:rPr>
          <w:rStyle w:val="FootnoteReference"/>
          <w:color w:val="000000"/>
        </w:rPr>
        <w:footnoteReference w:id="9"/>
      </w:r>
      <w:r w:rsidR="00924A62" w:rsidRPr="00924A62">
        <w:t xml:space="preserve"> </w:t>
      </w:r>
      <w:r w:rsidR="00DD49C6">
        <w:t>Others engaged in</w:t>
      </w:r>
      <w:r w:rsidR="00091A1A">
        <w:t xml:space="preserve"> “vaccine diplomacy</w:t>
      </w:r>
      <w:r w:rsidR="00DD49C6">
        <w:t>,</w:t>
      </w:r>
      <w:r w:rsidR="00091A1A">
        <w:t>”</w:t>
      </w:r>
      <w:r w:rsidR="00DD49C6">
        <w:t xml:space="preserve"> in which they </w:t>
      </w:r>
      <w:r w:rsidR="00DD49C6">
        <w:lastRenderedPageBreak/>
        <w:t xml:space="preserve">allocated vaccines to allies, as opposed to those with the greatest need, </w:t>
      </w:r>
      <w:r w:rsidR="00F7585A">
        <w:rPr>
          <w:rFonts w:ascii="TimesNewRomanPSMT" w:hAnsi="TimesNewRomanPSMT" w:cs="TimesNewRomanPSMT"/>
        </w:rPr>
        <w:t xml:space="preserve">in order to secure some </w:t>
      </w:r>
      <w:r w:rsidR="00E23F90">
        <w:rPr>
          <w:rFonts w:ascii="TimesNewRomanPSMT" w:hAnsi="TimesNewRomanPSMT" w:cs="TimesNewRomanPSMT"/>
        </w:rPr>
        <w:t>form</w:t>
      </w:r>
      <w:r w:rsidR="00F7585A">
        <w:rPr>
          <w:rFonts w:ascii="TimesNewRomanPSMT" w:hAnsi="TimesNewRomanPSMT" w:cs="TimesNewRomanPSMT"/>
        </w:rPr>
        <w:t xml:space="preserve"> of regional or international advantage or influence.</w:t>
      </w:r>
      <w:r w:rsidR="00091A1A">
        <w:rPr>
          <w:rStyle w:val="FootnoteReference"/>
          <w:color w:val="000000"/>
        </w:rPr>
        <w:footnoteReference w:id="10"/>
      </w:r>
      <w:r w:rsidR="00091A1A">
        <w:t xml:space="preserve"> </w:t>
      </w:r>
      <w:r w:rsidR="00924A62" w:rsidRPr="00924A62">
        <w:t xml:space="preserve">This left lower-income countries with scant access to critically-needed </w:t>
      </w:r>
      <w:r w:rsidR="00741E17">
        <w:t>medicines</w:t>
      </w:r>
      <w:r w:rsidR="00741E17" w:rsidRPr="00924A62">
        <w:t xml:space="preserve"> </w:t>
      </w:r>
      <w:r w:rsidR="00924A62" w:rsidRPr="00924A62">
        <w:t>during worsening public health crises</w:t>
      </w:r>
      <w:r w:rsidR="00C546E6">
        <w:t xml:space="preserve">, and </w:t>
      </w:r>
      <w:r w:rsidR="00352A20">
        <w:t xml:space="preserve">it </w:t>
      </w:r>
      <w:r w:rsidR="00C546E6">
        <w:t>forced them</w:t>
      </w:r>
      <w:r w:rsidR="00924A62" w:rsidRPr="00924A62">
        <w:t xml:space="preserve"> to wait for global manufacturing capacity to increase or for </w:t>
      </w:r>
      <w:r w:rsidR="00C546E6">
        <w:t>donated</w:t>
      </w:r>
      <w:r w:rsidR="00924A62" w:rsidRPr="00924A62">
        <w:t xml:space="preserve"> doses. </w:t>
      </w:r>
      <w:r w:rsidR="00E35709">
        <w:t>During the</w:t>
      </w:r>
      <w:r w:rsidR="00924A62" w:rsidRPr="00924A62">
        <w:t xml:space="preserve"> swine flu </w:t>
      </w:r>
      <w:r w:rsidR="00721B59">
        <w:t>pandemic</w:t>
      </w:r>
      <w:r w:rsidR="00924A62" w:rsidRPr="00924A62">
        <w:t xml:space="preserve">, this only </w:t>
      </w:r>
      <w:r w:rsidR="00FD32E4">
        <w:t>occurred</w:t>
      </w:r>
      <w:r w:rsidR="00924A62" w:rsidRPr="00924A62">
        <w:t xml:space="preserve"> after the pandemic had mostly subsided.</w:t>
      </w:r>
      <w:r w:rsidR="00566DC9">
        <w:rPr>
          <w:rStyle w:val="FootnoteReference"/>
          <w:color w:val="000000"/>
        </w:rPr>
        <w:footnoteReference w:id="11"/>
      </w:r>
      <w:r w:rsidR="00924A62" w:rsidRPr="00924A62">
        <w:t xml:space="preserve"> </w:t>
      </w:r>
    </w:p>
    <w:p w14:paraId="55B02703" w14:textId="0114DFED" w:rsidR="009C6645" w:rsidRDefault="00924A62" w:rsidP="009C6645">
      <w:pPr>
        <w:pStyle w:val="Body"/>
        <w:rPr>
          <w:rFonts w:eastAsia="Times New Roman"/>
          <w:color w:val="000000"/>
          <w:szCs w:val="24"/>
        </w:rPr>
      </w:pPr>
      <w:r w:rsidRPr="00924A62">
        <w:rPr>
          <w:rFonts w:eastAsia="Times New Roman"/>
          <w:color w:val="000000"/>
          <w:szCs w:val="24"/>
        </w:rPr>
        <w:t>The</w:t>
      </w:r>
      <w:r w:rsidR="004C343D">
        <w:rPr>
          <w:rFonts w:eastAsia="Times New Roman"/>
          <w:color w:val="000000"/>
          <w:szCs w:val="24"/>
        </w:rPr>
        <w:t xml:space="preserve"> practice of allocating </w:t>
      </w:r>
      <w:r w:rsidR="00DC71F6">
        <w:rPr>
          <w:rFonts w:eastAsia="Times New Roman"/>
          <w:color w:val="000000"/>
          <w:szCs w:val="24"/>
        </w:rPr>
        <w:t xml:space="preserve">scarce </w:t>
      </w:r>
      <w:r w:rsidR="006D313C">
        <w:rPr>
          <w:rFonts w:eastAsia="Times New Roman"/>
          <w:color w:val="000000"/>
          <w:szCs w:val="24"/>
        </w:rPr>
        <w:t>medicines</w:t>
      </w:r>
      <w:r w:rsidR="004C343D">
        <w:rPr>
          <w:rFonts w:eastAsia="Times New Roman"/>
          <w:color w:val="000000"/>
          <w:szCs w:val="24"/>
        </w:rPr>
        <w:t xml:space="preserve"> </w:t>
      </w:r>
      <w:r w:rsidR="001B6653">
        <w:rPr>
          <w:rFonts w:eastAsia="Times New Roman"/>
          <w:color w:val="000000"/>
          <w:szCs w:val="24"/>
        </w:rPr>
        <w:t>to the countries that can</w:t>
      </w:r>
      <w:r w:rsidR="009A4E11">
        <w:rPr>
          <w:rFonts w:eastAsia="Times New Roman"/>
          <w:color w:val="000000"/>
          <w:szCs w:val="24"/>
        </w:rPr>
        <w:t xml:space="preserve"> most readily</w:t>
      </w:r>
      <w:r w:rsidR="00DC71F6">
        <w:rPr>
          <w:rFonts w:eastAsia="Times New Roman"/>
          <w:color w:val="000000"/>
          <w:szCs w:val="24"/>
        </w:rPr>
        <w:t xml:space="preserve"> </w:t>
      </w:r>
      <w:r w:rsidR="001B6653">
        <w:rPr>
          <w:rFonts w:eastAsia="Times New Roman"/>
          <w:color w:val="000000"/>
          <w:szCs w:val="24"/>
        </w:rPr>
        <w:t>pay</w:t>
      </w:r>
      <w:r w:rsidR="00DC71F6">
        <w:rPr>
          <w:rFonts w:eastAsia="Times New Roman"/>
          <w:color w:val="000000"/>
          <w:szCs w:val="24"/>
        </w:rPr>
        <w:t xml:space="preserve"> </w:t>
      </w:r>
      <w:r w:rsidR="0052764D">
        <w:rPr>
          <w:rFonts w:eastAsia="Times New Roman"/>
          <w:color w:val="000000"/>
          <w:szCs w:val="24"/>
        </w:rPr>
        <w:t xml:space="preserve">vaccine </w:t>
      </w:r>
      <w:r w:rsidR="006D313C">
        <w:rPr>
          <w:rFonts w:eastAsia="Times New Roman"/>
          <w:color w:val="000000"/>
          <w:szCs w:val="24"/>
        </w:rPr>
        <w:t>manufacturers</w:t>
      </w:r>
      <w:r w:rsidRPr="00924A62">
        <w:rPr>
          <w:rFonts w:eastAsia="Times New Roman"/>
          <w:color w:val="000000"/>
          <w:szCs w:val="24"/>
        </w:rPr>
        <w:t xml:space="preserve"> </w:t>
      </w:r>
      <w:r w:rsidR="00DC71F6">
        <w:rPr>
          <w:rFonts w:eastAsia="Times New Roman"/>
          <w:color w:val="000000"/>
          <w:szCs w:val="24"/>
        </w:rPr>
        <w:t>is</w:t>
      </w:r>
      <w:r w:rsidR="00454DE4">
        <w:rPr>
          <w:rFonts w:eastAsia="Times New Roman"/>
          <w:color w:val="000000"/>
          <w:szCs w:val="24"/>
        </w:rPr>
        <w:t xml:space="preserve"> </w:t>
      </w:r>
      <w:r w:rsidR="00356A9A">
        <w:rPr>
          <w:rFonts w:eastAsia="Times New Roman"/>
          <w:color w:val="000000"/>
          <w:szCs w:val="24"/>
        </w:rPr>
        <w:t>known</w:t>
      </w:r>
      <w:r w:rsidR="00454DE4">
        <w:rPr>
          <w:rFonts w:eastAsia="Times New Roman"/>
          <w:color w:val="000000"/>
          <w:szCs w:val="24"/>
        </w:rPr>
        <w:t xml:space="preserve"> as </w:t>
      </w:r>
      <w:r w:rsidRPr="00924A62">
        <w:rPr>
          <w:rFonts w:eastAsia="Times New Roman"/>
          <w:color w:val="000000"/>
          <w:szCs w:val="24"/>
        </w:rPr>
        <w:t>“vaccine nationalism</w:t>
      </w:r>
      <w:r w:rsidR="00454DE4">
        <w:rPr>
          <w:rFonts w:eastAsia="Times New Roman"/>
          <w:color w:val="000000"/>
          <w:szCs w:val="24"/>
        </w:rPr>
        <w:t>,</w:t>
      </w:r>
      <w:r w:rsidRPr="00924A62">
        <w:rPr>
          <w:rFonts w:eastAsia="Times New Roman"/>
          <w:color w:val="000000"/>
          <w:szCs w:val="24"/>
        </w:rPr>
        <w:t xml:space="preserve">” </w:t>
      </w:r>
      <w:r w:rsidR="00454DE4">
        <w:rPr>
          <w:rFonts w:eastAsia="Times New Roman"/>
          <w:color w:val="000000"/>
          <w:szCs w:val="24"/>
        </w:rPr>
        <w:t xml:space="preserve">and is part of a </w:t>
      </w:r>
      <w:r w:rsidR="00356A9A">
        <w:rPr>
          <w:rFonts w:eastAsia="Times New Roman"/>
          <w:color w:val="000000"/>
          <w:szCs w:val="24"/>
        </w:rPr>
        <w:t>growing</w:t>
      </w:r>
      <w:r w:rsidR="00454DE4">
        <w:rPr>
          <w:rFonts w:eastAsia="Times New Roman"/>
          <w:color w:val="000000"/>
          <w:szCs w:val="24"/>
        </w:rPr>
        <w:t xml:space="preserve"> </w:t>
      </w:r>
      <w:r w:rsidR="00EC4860">
        <w:rPr>
          <w:rFonts w:eastAsia="Times New Roman"/>
          <w:color w:val="000000"/>
          <w:szCs w:val="24"/>
        </w:rPr>
        <w:t>trend</w:t>
      </w:r>
      <w:r w:rsidR="00454DE4">
        <w:rPr>
          <w:rFonts w:eastAsia="Times New Roman"/>
          <w:color w:val="000000"/>
          <w:szCs w:val="24"/>
        </w:rPr>
        <w:t xml:space="preserve"> of market power overriding </w:t>
      </w:r>
      <w:r w:rsidR="00803842">
        <w:rPr>
          <w:rFonts w:eastAsia="Times New Roman"/>
          <w:color w:val="000000"/>
          <w:szCs w:val="24"/>
        </w:rPr>
        <w:t>need, to the detriment of public health</w:t>
      </w:r>
      <w:r w:rsidRPr="00924A62">
        <w:rPr>
          <w:rFonts w:eastAsia="Times New Roman"/>
          <w:color w:val="000000"/>
          <w:szCs w:val="24"/>
        </w:rPr>
        <w:t>.</w:t>
      </w:r>
      <w:r w:rsidR="00852CDF">
        <w:rPr>
          <w:rStyle w:val="FootnoteReference"/>
          <w:rFonts w:eastAsia="Times New Roman"/>
          <w:color w:val="000000"/>
          <w:szCs w:val="24"/>
        </w:rPr>
        <w:footnoteReference w:id="12"/>
      </w:r>
      <w:r w:rsidRPr="00924A62">
        <w:rPr>
          <w:rFonts w:eastAsia="Times New Roman"/>
          <w:color w:val="000000"/>
          <w:szCs w:val="24"/>
        </w:rPr>
        <w:t xml:space="preserve"> </w:t>
      </w:r>
      <w:r w:rsidR="009C6645">
        <w:rPr>
          <w:rFonts w:eastAsia="Times New Roman"/>
          <w:color w:val="000000"/>
          <w:szCs w:val="24"/>
        </w:rPr>
        <w:t xml:space="preserve">The </w:t>
      </w:r>
      <w:r w:rsidR="00AB6634">
        <w:rPr>
          <w:rFonts w:eastAsia="Times New Roman"/>
          <w:color w:val="000000"/>
          <w:szCs w:val="24"/>
        </w:rPr>
        <w:t xml:space="preserve">allocation of </w:t>
      </w:r>
      <w:r w:rsidR="009C6645">
        <w:rPr>
          <w:rFonts w:eastAsia="Times New Roman"/>
          <w:color w:val="000000"/>
          <w:szCs w:val="24"/>
        </w:rPr>
        <w:t xml:space="preserve">COVID-19 </w:t>
      </w:r>
      <w:r w:rsidR="00AB6634">
        <w:rPr>
          <w:rFonts w:eastAsia="Times New Roman"/>
          <w:color w:val="000000"/>
          <w:szCs w:val="24"/>
        </w:rPr>
        <w:t>vaccines</w:t>
      </w:r>
      <w:r w:rsidR="009C6645">
        <w:rPr>
          <w:rFonts w:eastAsia="Times New Roman"/>
          <w:color w:val="000000"/>
          <w:szCs w:val="24"/>
        </w:rPr>
        <w:t xml:space="preserve"> </w:t>
      </w:r>
      <w:r w:rsidR="00A3214E">
        <w:rPr>
          <w:rFonts w:eastAsia="Times New Roman"/>
          <w:color w:val="000000"/>
          <w:szCs w:val="24"/>
        </w:rPr>
        <w:t>illustrates</w:t>
      </w:r>
      <w:r w:rsidR="00AB6634">
        <w:rPr>
          <w:rFonts w:eastAsia="Times New Roman"/>
          <w:color w:val="000000"/>
          <w:szCs w:val="24"/>
        </w:rPr>
        <w:t xml:space="preserve"> this</w:t>
      </w:r>
      <w:r w:rsidR="003A37A0">
        <w:rPr>
          <w:rFonts w:eastAsia="Times New Roman"/>
          <w:color w:val="000000"/>
          <w:szCs w:val="24"/>
        </w:rPr>
        <w:t xml:space="preserve"> phenomenon</w:t>
      </w:r>
      <w:r w:rsidR="009C6645">
        <w:rPr>
          <w:rFonts w:eastAsia="Times New Roman"/>
          <w:color w:val="000000"/>
          <w:szCs w:val="24"/>
        </w:rPr>
        <w:t>.</w:t>
      </w:r>
      <w:r w:rsidR="002B3D90">
        <w:rPr>
          <w:rFonts w:eastAsia="Times New Roman"/>
          <w:color w:val="000000"/>
          <w:szCs w:val="24"/>
        </w:rPr>
        <w:t xml:space="preserve"> </w:t>
      </w:r>
      <w:r w:rsidR="006062F6">
        <w:rPr>
          <w:rFonts w:eastAsia="Times New Roman"/>
          <w:color w:val="000000"/>
          <w:szCs w:val="24"/>
        </w:rPr>
        <w:t>The U.S. government</w:t>
      </w:r>
      <w:r w:rsidR="00593A23">
        <w:rPr>
          <w:rFonts w:eastAsia="Times New Roman"/>
          <w:color w:val="000000"/>
          <w:szCs w:val="24"/>
        </w:rPr>
        <w:t xml:space="preserve"> refused to support </w:t>
      </w:r>
      <w:r w:rsidR="003A37A0">
        <w:rPr>
          <w:rFonts w:eastAsia="Times New Roman"/>
          <w:color w:val="000000"/>
          <w:szCs w:val="24"/>
        </w:rPr>
        <w:t xml:space="preserve">international procurement through </w:t>
      </w:r>
      <w:r w:rsidR="00593A23">
        <w:rPr>
          <w:rFonts w:eastAsia="Times New Roman"/>
          <w:color w:val="000000"/>
          <w:szCs w:val="24"/>
        </w:rPr>
        <w:t>COVAX</w:t>
      </w:r>
      <w:r w:rsidR="003A37A0">
        <w:rPr>
          <w:rFonts w:eastAsia="Times New Roman"/>
          <w:color w:val="000000"/>
          <w:szCs w:val="24"/>
        </w:rPr>
        <w:t xml:space="preserve">, a facility co-led by the </w:t>
      </w:r>
      <w:r w:rsidR="003A37A0" w:rsidRPr="003A37A0">
        <w:rPr>
          <w:rFonts w:eastAsia="Times New Roman"/>
          <w:color w:val="000000"/>
          <w:szCs w:val="24"/>
        </w:rPr>
        <w:t>Coalition for Epidemic Preparedness Innovations (CEPI), Gavi and the World Health Organization (WHO)</w:t>
      </w:r>
      <w:r w:rsidR="00593A23">
        <w:rPr>
          <w:rFonts w:eastAsia="Times New Roman"/>
          <w:color w:val="000000"/>
          <w:szCs w:val="24"/>
        </w:rPr>
        <w:t>.</w:t>
      </w:r>
      <w:r w:rsidR="003A37A0">
        <w:rPr>
          <w:rStyle w:val="FootnoteReference"/>
          <w:rFonts w:eastAsia="Times New Roman"/>
          <w:color w:val="000000"/>
          <w:szCs w:val="24"/>
        </w:rPr>
        <w:footnoteReference w:id="13"/>
      </w:r>
      <w:r w:rsidR="00593A23">
        <w:rPr>
          <w:rFonts w:eastAsia="Times New Roman"/>
          <w:color w:val="000000"/>
          <w:szCs w:val="24"/>
        </w:rPr>
        <w:t xml:space="preserve"> Instead, </w:t>
      </w:r>
      <w:r w:rsidR="00CB0A30">
        <w:rPr>
          <w:rFonts w:eastAsia="Times New Roman"/>
          <w:color w:val="000000"/>
          <w:szCs w:val="24"/>
        </w:rPr>
        <w:t xml:space="preserve">the Trump Administration </w:t>
      </w:r>
      <w:r w:rsidR="009C6645" w:rsidRPr="00924A62">
        <w:rPr>
          <w:rFonts w:eastAsia="Times New Roman"/>
          <w:color w:val="000000"/>
          <w:szCs w:val="24"/>
        </w:rPr>
        <w:t xml:space="preserve">launched Operation Warp Speed, </w:t>
      </w:r>
      <w:r w:rsidR="002407BC">
        <w:rPr>
          <w:rFonts w:eastAsia="Times New Roman"/>
          <w:color w:val="000000"/>
          <w:szCs w:val="24"/>
        </w:rPr>
        <w:t>providing</w:t>
      </w:r>
      <w:r w:rsidR="009C6645" w:rsidRPr="00924A62">
        <w:rPr>
          <w:rFonts w:eastAsia="Times New Roman"/>
          <w:color w:val="000000"/>
          <w:szCs w:val="24"/>
        </w:rPr>
        <w:t xml:space="preserve"> billions of dollars to </w:t>
      </w:r>
      <w:r w:rsidR="002407BC">
        <w:rPr>
          <w:rFonts w:eastAsia="Times New Roman"/>
          <w:color w:val="000000"/>
          <w:szCs w:val="24"/>
        </w:rPr>
        <w:t>pharmaceutical</w:t>
      </w:r>
      <w:r w:rsidR="002407BC" w:rsidRPr="00924A62">
        <w:rPr>
          <w:rFonts w:eastAsia="Times New Roman"/>
          <w:color w:val="000000"/>
          <w:szCs w:val="24"/>
        </w:rPr>
        <w:t xml:space="preserve"> </w:t>
      </w:r>
      <w:r w:rsidR="009C6645" w:rsidRPr="00924A62">
        <w:rPr>
          <w:rFonts w:eastAsia="Times New Roman"/>
          <w:color w:val="000000"/>
          <w:szCs w:val="24"/>
        </w:rPr>
        <w:t xml:space="preserve">companies that were working to develop COVID-19 vaccines and </w:t>
      </w:r>
      <w:r w:rsidR="002407BC">
        <w:rPr>
          <w:rFonts w:eastAsia="Times New Roman"/>
          <w:color w:val="000000"/>
          <w:szCs w:val="24"/>
        </w:rPr>
        <w:t>placing</w:t>
      </w:r>
      <w:r w:rsidR="002407BC" w:rsidRPr="00924A62">
        <w:rPr>
          <w:rFonts w:eastAsia="Times New Roman"/>
          <w:color w:val="000000"/>
          <w:szCs w:val="24"/>
        </w:rPr>
        <w:t xml:space="preserve"> </w:t>
      </w:r>
      <w:r w:rsidR="00B36EB0">
        <w:rPr>
          <w:rFonts w:eastAsia="Times New Roman"/>
          <w:color w:val="000000"/>
          <w:szCs w:val="24"/>
        </w:rPr>
        <w:t>advanced purchase agreements</w:t>
      </w:r>
      <w:r w:rsidR="009C6645" w:rsidRPr="00924A62">
        <w:rPr>
          <w:rFonts w:eastAsia="Times New Roman"/>
          <w:color w:val="000000"/>
          <w:szCs w:val="24"/>
        </w:rPr>
        <w:t xml:space="preserve"> with six companies. </w:t>
      </w:r>
      <w:r w:rsidR="00CD67DD">
        <w:rPr>
          <w:rFonts w:eastAsia="Times New Roman"/>
          <w:color w:val="000000"/>
          <w:szCs w:val="24"/>
        </w:rPr>
        <w:t xml:space="preserve">It attempted to buy priority access to </w:t>
      </w:r>
      <w:r w:rsidR="00225983">
        <w:rPr>
          <w:rFonts w:eastAsia="Times New Roman"/>
          <w:color w:val="000000"/>
          <w:szCs w:val="24"/>
        </w:rPr>
        <w:t>foreign companies’</w:t>
      </w:r>
      <w:r w:rsidR="00CD67DD">
        <w:rPr>
          <w:rFonts w:eastAsia="Times New Roman"/>
          <w:color w:val="000000"/>
          <w:szCs w:val="24"/>
        </w:rPr>
        <w:t xml:space="preserve"> vaccines by </w:t>
      </w:r>
      <w:r w:rsidR="00FC59EA">
        <w:rPr>
          <w:rFonts w:eastAsia="Times New Roman"/>
          <w:color w:val="000000"/>
          <w:szCs w:val="24"/>
        </w:rPr>
        <w:t>offering</w:t>
      </w:r>
      <w:r w:rsidR="00225983">
        <w:rPr>
          <w:rFonts w:eastAsia="Times New Roman"/>
          <w:color w:val="000000"/>
          <w:szCs w:val="24"/>
        </w:rPr>
        <w:t xml:space="preserve"> them</w:t>
      </w:r>
      <w:r w:rsidR="00FC59EA">
        <w:rPr>
          <w:rFonts w:eastAsia="Times New Roman"/>
          <w:color w:val="000000"/>
          <w:szCs w:val="24"/>
        </w:rPr>
        <w:t xml:space="preserve"> large sums of money</w:t>
      </w:r>
      <w:r w:rsidR="00F139E4">
        <w:rPr>
          <w:rFonts w:eastAsia="Times New Roman"/>
          <w:color w:val="000000"/>
          <w:szCs w:val="24"/>
        </w:rPr>
        <w:t>, sparking immense backlash</w:t>
      </w:r>
      <w:r w:rsidR="00CD67DD">
        <w:rPr>
          <w:rFonts w:eastAsia="Times New Roman"/>
          <w:color w:val="000000"/>
          <w:szCs w:val="24"/>
        </w:rPr>
        <w:t>.</w:t>
      </w:r>
      <w:r w:rsidR="00CD67DD">
        <w:rPr>
          <w:rStyle w:val="FootnoteReference"/>
          <w:rFonts w:eastAsia="Times New Roman"/>
          <w:color w:val="000000"/>
          <w:szCs w:val="24"/>
        </w:rPr>
        <w:footnoteReference w:id="14"/>
      </w:r>
      <w:r w:rsidR="00CD67DD">
        <w:rPr>
          <w:rFonts w:eastAsia="Times New Roman"/>
          <w:color w:val="000000"/>
          <w:szCs w:val="24"/>
        </w:rPr>
        <w:t xml:space="preserve"> </w:t>
      </w:r>
      <w:r w:rsidR="00125AE0">
        <w:rPr>
          <w:rFonts w:eastAsia="Times New Roman"/>
          <w:color w:val="000000"/>
          <w:szCs w:val="24"/>
        </w:rPr>
        <w:t>The United States was not alone in</w:t>
      </w:r>
      <w:r w:rsidR="008A7F73">
        <w:rPr>
          <w:rFonts w:eastAsia="Times New Roman"/>
          <w:color w:val="000000"/>
          <w:szCs w:val="24"/>
        </w:rPr>
        <w:t xml:space="preserve"> aggressively</w:t>
      </w:r>
      <w:r w:rsidR="00125AE0">
        <w:rPr>
          <w:rFonts w:eastAsia="Times New Roman"/>
          <w:color w:val="000000"/>
          <w:szCs w:val="24"/>
        </w:rPr>
        <w:t xml:space="preserve"> stockpiling </w:t>
      </w:r>
      <w:r w:rsidR="005D64E2">
        <w:rPr>
          <w:rFonts w:eastAsia="Times New Roman"/>
          <w:color w:val="000000"/>
          <w:szCs w:val="24"/>
        </w:rPr>
        <w:t>vaccines</w:t>
      </w:r>
      <w:r w:rsidR="00125AE0">
        <w:rPr>
          <w:rFonts w:eastAsia="Times New Roman"/>
          <w:color w:val="000000"/>
          <w:szCs w:val="24"/>
        </w:rPr>
        <w:t>—the United Kingdom, Canada, Japan, and European Union member states all procured more vaccines than what they actually needed.</w:t>
      </w:r>
      <w:r w:rsidR="00125AE0">
        <w:rPr>
          <w:rStyle w:val="FootnoteReference"/>
          <w:rFonts w:eastAsia="Times New Roman"/>
          <w:color w:val="000000"/>
          <w:szCs w:val="24"/>
        </w:rPr>
        <w:footnoteReference w:id="15"/>
      </w:r>
      <w:r w:rsidR="006C30E2">
        <w:rPr>
          <w:rFonts w:eastAsia="Times New Roman"/>
          <w:color w:val="000000"/>
          <w:szCs w:val="24"/>
        </w:rPr>
        <w:t xml:space="preserve">  </w:t>
      </w:r>
      <w:r w:rsidR="002C372A">
        <w:rPr>
          <w:rFonts w:eastAsia="Times New Roman"/>
          <w:color w:val="000000"/>
          <w:szCs w:val="24"/>
        </w:rPr>
        <w:t xml:space="preserve"> </w:t>
      </w:r>
    </w:p>
    <w:p w14:paraId="7A5AE973" w14:textId="43B0974D" w:rsidR="002B3D90" w:rsidRDefault="002C5CC7" w:rsidP="009C6645">
      <w:pPr>
        <w:pStyle w:val="Body"/>
        <w:rPr>
          <w:rFonts w:eastAsia="Times New Roman"/>
          <w:color w:val="000000"/>
          <w:szCs w:val="24"/>
        </w:rPr>
      </w:pPr>
      <w:r>
        <w:rPr>
          <w:rFonts w:eastAsia="Times New Roman"/>
          <w:color w:val="000000"/>
          <w:szCs w:val="24"/>
        </w:rPr>
        <w:t>V</w:t>
      </w:r>
      <w:r w:rsidR="002209C5">
        <w:rPr>
          <w:rFonts w:eastAsia="Times New Roman"/>
          <w:color w:val="000000"/>
          <w:szCs w:val="24"/>
        </w:rPr>
        <w:t>arious</w:t>
      </w:r>
      <w:r w:rsidR="002B3D90">
        <w:rPr>
          <w:rFonts w:eastAsia="Times New Roman"/>
          <w:color w:val="000000"/>
          <w:szCs w:val="24"/>
        </w:rPr>
        <w:t xml:space="preserve"> </w:t>
      </w:r>
      <w:r w:rsidR="002B3D90" w:rsidRPr="00924A62">
        <w:rPr>
          <w:rFonts w:eastAsia="Times New Roman"/>
          <w:color w:val="000000"/>
          <w:szCs w:val="24"/>
        </w:rPr>
        <w:t>countries</w:t>
      </w:r>
      <w:r w:rsidR="002209C5">
        <w:rPr>
          <w:rFonts w:eastAsia="Times New Roman"/>
          <w:color w:val="000000"/>
          <w:szCs w:val="24"/>
        </w:rPr>
        <w:t xml:space="preserve"> </w:t>
      </w:r>
      <w:r>
        <w:rPr>
          <w:rFonts w:eastAsia="Times New Roman"/>
          <w:color w:val="000000"/>
          <w:szCs w:val="24"/>
        </w:rPr>
        <w:t xml:space="preserve">chose to </w:t>
      </w:r>
      <w:r w:rsidR="002B3D90" w:rsidRPr="00924A62">
        <w:rPr>
          <w:rFonts w:eastAsia="Times New Roman"/>
          <w:color w:val="000000"/>
          <w:szCs w:val="24"/>
        </w:rPr>
        <w:t>support COVAX</w:t>
      </w:r>
      <w:r w:rsidR="009E5D36">
        <w:rPr>
          <w:rFonts w:eastAsia="Times New Roman"/>
          <w:color w:val="000000"/>
          <w:szCs w:val="24"/>
        </w:rPr>
        <w:t xml:space="preserve"> with the </w:t>
      </w:r>
      <w:r w:rsidR="002B3D90" w:rsidRPr="00924A62">
        <w:rPr>
          <w:rFonts w:eastAsia="Times New Roman"/>
          <w:color w:val="000000"/>
          <w:szCs w:val="24"/>
        </w:rPr>
        <w:t xml:space="preserve">goal </w:t>
      </w:r>
      <w:r w:rsidR="009E5D36">
        <w:rPr>
          <w:rFonts w:eastAsia="Times New Roman"/>
          <w:color w:val="000000"/>
          <w:szCs w:val="24"/>
        </w:rPr>
        <w:t>of</w:t>
      </w:r>
      <w:r w:rsidR="002B3D90" w:rsidRPr="00924A62">
        <w:rPr>
          <w:rFonts w:eastAsia="Times New Roman"/>
          <w:color w:val="000000"/>
          <w:szCs w:val="24"/>
        </w:rPr>
        <w:t xml:space="preserve"> facilitat</w:t>
      </w:r>
      <w:r w:rsidR="009E5D36">
        <w:rPr>
          <w:rFonts w:eastAsia="Times New Roman"/>
          <w:color w:val="000000"/>
          <w:szCs w:val="24"/>
        </w:rPr>
        <w:t>ing</w:t>
      </w:r>
      <w:r w:rsidR="002B3D90" w:rsidRPr="00924A62">
        <w:rPr>
          <w:rFonts w:eastAsia="Times New Roman"/>
          <w:color w:val="000000"/>
          <w:szCs w:val="24"/>
        </w:rPr>
        <w:t xml:space="preserve"> the manufacturing and distribution of COVID-19 vaccines</w:t>
      </w:r>
      <w:r w:rsidR="009E5D36">
        <w:rPr>
          <w:rFonts w:eastAsia="Times New Roman"/>
          <w:color w:val="000000"/>
          <w:szCs w:val="24"/>
        </w:rPr>
        <w:t xml:space="preserve"> to all countries</w:t>
      </w:r>
      <w:r w:rsidR="002B3D90" w:rsidRPr="00924A62">
        <w:rPr>
          <w:rFonts w:eastAsia="Times New Roman"/>
          <w:color w:val="000000"/>
          <w:szCs w:val="24"/>
        </w:rPr>
        <w:t>. However, COVAX fell short of its promises.</w:t>
      </w:r>
      <w:r w:rsidR="00701AD4">
        <w:rPr>
          <w:rStyle w:val="FootnoteReference"/>
          <w:rFonts w:eastAsia="Times New Roman"/>
          <w:color w:val="000000"/>
          <w:szCs w:val="24"/>
        </w:rPr>
        <w:footnoteReference w:id="16"/>
      </w:r>
      <w:r w:rsidR="002B3D90" w:rsidRPr="00924A62">
        <w:rPr>
          <w:rFonts w:eastAsia="Times New Roman"/>
          <w:color w:val="000000"/>
          <w:szCs w:val="24"/>
        </w:rPr>
        <w:t xml:space="preserve"> Some countries placed orders, but received their vaccines late or without any advanced notice, or received doses that were about to expire.</w:t>
      </w:r>
      <w:r w:rsidR="002B3D90">
        <w:rPr>
          <w:rStyle w:val="FootnoteReference"/>
          <w:rFonts w:eastAsia="Times New Roman"/>
          <w:color w:val="000000"/>
          <w:szCs w:val="24"/>
        </w:rPr>
        <w:footnoteReference w:id="17"/>
      </w:r>
      <w:r w:rsidR="002B3D90" w:rsidRPr="00924A62">
        <w:rPr>
          <w:rFonts w:eastAsia="Times New Roman"/>
          <w:color w:val="000000"/>
          <w:szCs w:val="24"/>
        </w:rPr>
        <w:t xml:space="preserve"> Middle-income countries</w:t>
      </w:r>
      <w:r w:rsidR="005916C1">
        <w:rPr>
          <w:rFonts w:eastAsia="Times New Roman"/>
          <w:color w:val="000000"/>
          <w:szCs w:val="24"/>
        </w:rPr>
        <w:t xml:space="preserve"> that did not receive promised vaccines</w:t>
      </w:r>
      <w:r w:rsidR="002B3D90" w:rsidRPr="00924A62">
        <w:rPr>
          <w:rFonts w:eastAsia="Times New Roman"/>
          <w:color w:val="000000"/>
          <w:szCs w:val="24"/>
        </w:rPr>
        <w:t xml:space="preserve"> were forced to later </w:t>
      </w:r>
      <w:r w:rsidR="000B2C71">
        <w:rPr>
          <w:rFonts w:eastAsia="Times New Roman"/>
          <w:color w:val="000000"/>
          <w:szCs w:val="24"/>
        </w:rPr>
        <w:t>negotiate</w:t>
      </w:r>
      <w:r w:rsidR="000B2C71" w:rsidRPr="00924A62">
        <w:rPr>
          <w:rFonts w:eastAsia="Times New Roman"/>
          <w:color w:val="000000"/>
          <w:szCs w:val="24"/>
        </w:rPr>
        <w:t xml:space="preserve"> </w:t>
      </w:r>
      <w:r w:rsidR="002B3D90" w:rsidRPr="00924A62">
        <w:rPr>
          <w:rFonts w:eastAsia="Times New Roman"/>
          <w:color w:val="000000"/>
          <w:szCs w:val="24"/>
        </w:rPr>
        <w:t>separate deals with vaccine manufacturers, pushing them to the back of the line. The Serum Institute of India was supposed to be a major supplier, but India’s vaccine export ban blocked it</w:t>
      </w:r>
      <w:r w:rsidR="009E7367">
        <w:rPr>
          <w:rFonts w:eastAsia="Times New Roman"/>
          <w:color w:val="000000"/>
          <w:szCs w:val="24"/>
        </w:rPr>
        <w:t xml:space="preserve"> from</w:t>
      </w:r>
      <w:r w:rsidR="002B3D90" w:rsidRPr="00924A62">
        <w:rPr>
          <w:rFonts w:eastAsia="Times New Roman"/>
          <w:color w:val="000000"/>
          <w:szCs w:val="24"/>
        </w:rPr>
        <w:t xml:space="preserve"> delivering orders</w:t>
      </w:r>
      <w:r w:rsidR="006B2472">
        <w:rPr>
          <w:rFonts w:eastAsia="Times New Roman"/>
          <w:color w:val="000000"/>
          <w:szCs w:val="24"/>
        </w:rPr>
        <w:t xml:space="preserve"> for several months</w:t>
      </w:r>
      <w:r w:rsidR="002B3D90" w:rsidRPr="00924A62">
        <w:rPr>
          <w:rFonts w:eastAsia="Times New Roman"/>
          <w:color w:val="000000"/>
          <w:szCs w:val="24"/>
        </w:rPr>
        <w:t>.</w:t>
      </w:r>
      <w:r w:rsidR="009447FC">
        <w:rPr>
          <w:rStyle w:val="FootnoteReference"/>
          <w:rFonts w:eastAsia="Times New Roman"/>
          <w:color w:val="000000"/>
          <w:szCs w:val="24"/>
        </w:rPr>
        <w:footnoteReference w:id="18"/>
      </w:r>
      <w:r w:rsidR="002B3D90" w:rsidRPr="00924A62">
        <w:rPr>
          <w:rFonts w:eastAsia="Times New Roman"/>
          <w:color w:val="000000"/>
          <w:szCs w:val="24"/>
        </w:rPr>
        <w:t xml:space="preserve"> A </w:t>
      </w:r>
      <w:r w:rsidR="002B3D90" w:rsidRPr="00924A62">
        <w:rPr>
          <w:rFonts w:eastAsia="Times New Roman"/>
          <w:color w:val="000000"/>
          <w:szCs w:val="24"/>
        </w:rPr>
        <w:lastRenderedPageBreak/>
        <w:t>major complaint against COVAX was its failure to push for technology transfers to allow countries to manufacture their own doses.</w:t>
      </w:r>
      <w:r w:rsidR="002B3D90">
        <w:rPr>
          <w:rStyle w:val="FootnoteReference"/>
          <w:rFonts w:eastAsia="Times New Roman"/>
          <w:color w:val="000000"/>
          <w:szCs w:val="24"/>
        </w:rPr>
        <w:footnoteReference w:id="19"/>
      </w:r>
    </w:p>
    <w:p w14:paraId="501C0C7C" w14:textId="0952B159" w:rsidR="00254AF1" w:rsidRDefault="009F6B24" w:rsidP="009C6645">
      <w:pPr>
        <w:pStyle w:val="Body"/>
      </w:pPr>
      <w:r>
        <w:rPr>
          <w:rFonts w:eastAsia="Times New Roman"/>
          <w:color w:val="000000"/>
          <w:szCs w:val="24"/>
        </w:rPr>
        <w:t>L</w:t>
      </w:r>
      <w:r w:rsidR="00254AF1">
        <w:rPr>
          <w:rFonts w:eastAsia="Times New Roman"/>
          <w:color w:val="000000"/>
          <w:szCs w:val="24"/>
        </w:rPr>
        <w:t xml:space="preserve">ower-income countries are supposed to have </w:t>
      </w:r>
      <w:r w:rsidR="00566DC9">
        <w:rPr>
          <w:rFonts w:eastAsia="Times New Roman"/>
          <w:color w:val="000000"/>
          <w:szCs w:val="24"/>
        </w:rPr>
        <w:t xml:space="preserve">legal </w:t>
      </w:r>
      <w:r w:rsidR="00254AF1">
        <w:rPr>
          <w:rFonts w:eastAsia="Times New Roman"/>
          <w:color w:val="000000"/>
          <w:szCs w:val="24"/>
        </w:rPr>
        <w:t xml:space="preserve">tools </w:t>
      </w:r>
      <w:r w:rsidR="00BC2E13">
        <w:rPr>
          <w:rFonts w:eastAsia="Times New Roman"/>
          <w:color w:val="000000"/>
          <w:szCs w:val="24"/>
        </w:rPr>
        <w:t>to counter</w:t>
      </w:r>
      <w:r w:rsidR="00254AF1">
        <w:rPr>
          <w:rFonts w:eastAsia="Times New Roman"/>
          <w:color w:val="000000"/>
          <w:szCs w:val="24"/>
        </w:rPr>
        <w:t xml:space="preserve"> vaccine nationalism</w:t>
      </w:r>
      <w:r w:rsidR="00F914B9">
        <w:rPr>
          <w:rFonts w:eastAsia="Times New Roman"/>
          <w:color w:val="000000"/>
          <w:szCs w:val="24"/>
        </w:rPr>
        <w:t xml:space="preserve"> and, more broadly, problems of drug scarcity</w:t>
      </w:r>
      <w:r w:rsidR="00DF3E23">
        <w:rPr>
          <w:rFonts w:eastAsia="Times New Roman"/>
          <w:color w:val="000000"/>
          <w:szCs w:val="24"/>
        </w:rPr>
        <w:t xml:space="preserve"> arising during </w:t>
      </w:r>
      <w:r w:rsidR="00B0253D">
        <w:rPr>
          <w:rFonts w:eastAsia="Times New Roman"/>
          <w:color w:val="000000"/>
          <w:szCs w:val="24"/>
        </w:rPr>
        <w:t>public health crises</w:t>
      </w:r>
      <w:r w:rsidR="00254AF1">
        <w:rPr>
          <w:rFonts w:eastAsia="Times New Roman"/>
          <w:color w:val="000000"/>
          <w:szCs w:val="24"/>
        </w:rPr>
        <w:t xml:space="preserve">. </w:t>
      </w:r>
      <w:r w:rsidR="002B0F95">
        <w:t>Article 31 of TRIPS</w:t>
      </w:r>
      <w:r w:rsidR="00254AF1" w:rsidRPr="00924A62">
        <w:t xml:space="preserve"> </w:t>
      </w:r>
      <w:r w:rsidR="00050AE1">
        <w:t>allows</w:t>
      </w:r>
      <w:r w:rsidR="00254AF1" w:rsidRPr="00924A62">
        <w:t xml:space="preserve"> member countries to utilize </w:t>
      </w:r>
      <w:r w:rsidR="00246E4A">
        <w:t>“</w:t>
      </w:r>
      <w:r w:rsidR="00254AF1" w:rsidRPr="00924A62">
        <w:t>compulsory licensing</w:t>
      </w:r>
      <w:r w:rsidR="00246E4A">
        <w:t xml:space="preserve">” and issue licenses </w:t>
      </w:r>
      <w:r w:rsidR="00050AE1">
        <w:t>for</w:t>
      </w:r>
      <w:r w:rsidR="00246E4A">
        <w:t xml:space="preserve"> </w:t>
      </w:r>
      <w:r w:rsidR="00254AF1" w:rsidRPr="00924A62">
        <w:t>patented technology to third part</w:t>
      </w:r>
      <w:r w:rsidR="00246E4A">
        <w:t>ies</w:t>
      </w:r>
      <w:r w:rsidR="00254AF1" w:rsidRPr="00924A62">
        <w:t xml:space="preserve"> without patent</w:t>
      </w:r>
      <w:r w:rsidR="00DD695A">
        <w:t>-</w:t>
      </w:r>
      <w:r w:rsidR="00254AF1" w:rsidRPr="00924A62">
        <w:t>holder consent.</w:t>
      </w:r>
      <w:r w:rsidR="00254AF1">
        <w:rPr>
          <w:rStyle w:val="FootnoteReference"/>
        </w:rPr>
        <w:footnoteReference w:id="20"/>
      </w:r>
      <w:r w:rsidR="00254AF1" w:rsidRPr="00924A62">
        <w:t xml:space="preserve"> During emergencies, including </w:t>
      </w:r>
      <w:r w:rsidR="00F62366">
        <w:t>pandemics and epidemics</w:t>
      </w:r>
      <w:r w:rsidR="00254AF1" w:rsidRPr="00924A62">
        <w:t xml:space="preserve">, </w:t>
      </w:r>
      <w:r w:rsidR="00204544">
        <w:t>a</w:t>
      </w:r>
      <w:r w:rsidR="00204544" w:rsidRPr="00924A62">
        <w:t xml:space="preserve"> </w:t>
      </w:r>
      <w:r w:rsidR="00254AF1" w:rsidRPr="00924A62">
        <w:t xml:space="preserve">government need not engage in time-consuming negotiations with the patent holder prior to issuing </w:t>
      </w:r>
      <w:r w:rsidR="00204544">
        <w:t>a</w:t>
      </w:r>
      <w:r w:rsidR="00204544" w:rsidRPr="00924A62">
        <w:t xml:space="preserve"> </w:t>
      </w:r>
      <w:r w:rsidR="00254AF1" w:rsidRPr="00924A62">
        <w:t>compulsory license.</w:t>
      </w:r>
      <w:r w:rsidR="00514832">
        <w:rPr>
          <w:rStyle w:val="FootnoteReference"/>
        </w:rPr>
        <w:footnoteReference w:id="21"/>
      </w:r>
      <w:r w:rsidR="003638DB" w:rsidRPr="003638DB">
        <w:t xml:space="preserve"> </w:t>
      </w:r>
      <w:r w:rsidR="003638DB">
        <w:t>Article 31</w:t>
      </w:r>
      <w:r w:rsidR="003638DB">
        <w:rPr>
          <w:i/>
          <w:iCs/>
        </w:rPr>
        <w:t xml:space="preserve">bis </w:t>
      </w:r>
      <w:r w:rsidR="003638DB">
        <w:t>further permits countries in need of particular drugs to import them under compulsory license from a country capable of producing it.</w:t>
      </w:r>
      <w:r w:rsidR="003638DB">
        <w:rPr>
          <w:rStyle w:val="FootnoteReference"/>
        </w:rPr>
        <w:footnoteReference w:id="22"/>
      </w:r>
      <w:r w:rsidR="003638DB">
        <w:t xml:space="preserve"> </w:t>
      </w:r>
      <w:r w:rsidR="00204544">
        <w:t xml:space="preserve"> Theoretically, th</w:t>
      </w:r>
      <w:r w:rsidR="005A52DF">
        <w:t>ese provisions</w:t>
      </w:r>
      <w:r w:rsidR="00204544">
        <w:t xml:space="preserve"> should allow lower-income countries to produce or import the </w:t>
      </w:r>
      <w:r w:rsidR="00280B44">
        <w:t>medicines</w:t>
      </w:r>
      <w:r w:rsidR="00204544">
        <w:t xml:space="preserve"> that they need</w:t>
      </w:r>
      <w:r w:rsidR="00D94F31">
        <w:t xml:space="preserve"> during a pandemic or epidemic</w:t>
      </w:r>
      <w:r w:rsidR="00204544">
        <w:t>.</w:t>
      </w:r>
    </w:p>
    <w:p w14:paraId="50F809E5" w14:textId="3C6710B7" w:rsidR="003B5ED3" w:rsidRDefault="003B5ED3" w:rsidP="009C6645">
      <w:pPr>
        <w:pStyle w:val="Body"/>
        <w:rPr>
          <w:rFonts w:eastAsia="Times New Roman"/>
          <w:color w:val="000000"/>
          <w:szCs w:val="24"/>
        </w:rPr>
      </w:pPr>
      <w:r w:rsidRPr="00924A62">
        <w:rPr>
          <w:rFonts w:eastAsia="Times New Roman"/>
          <w:color w:val="000000"/>
          <w:szCs w:val="24"/>
        </w:rPr>
        <w:t>TRIPS</w:t>
      </w:r>
      <w:r w:rsidR="00275E00">
        <w:rPr>
          <w:rFonts w:eastAsia="Times New Roman"/>
          <w:color w:val="000000"/>
          <w:szCs w:val="24"/>
        </w:rPr>
        <w:t>, however,</w:t>
      </w:r>
      <w:r w:rsidRPr="00924A62">
        <w:rPr>
          <w:rFonts w:eastAsia="Times New Roman"/>
          <w:color w:val="000000"/>
          <w:szCs w:val="24"/>
        </w:rPr>
        <w:t xml:space="preserve"> </w:t>
      </w:r>
      <w:r w:rsidR="00867930">
        <w:rPr>
          <w:rFonts w:eastAsia="Times New Roman"/>
          <w:color w:val="000000"/>
          <w:szCs w:val="24"/>
        </w:rPr>
        <w:t>lacks</w:t>
      </w:r>
      <w:r w:rsidRPr="00924A62">
        <w:rPr>
          <w:rFonts w:eastAsia="Times New Roman"/>
          <w:color w:val="000000"/>
          <w:szCs w:val="24"/>
        </w:rPr>
        <w:t xml:space="preserve"> </w:t>
      </w:r>
      <w:r w:rsidR="00823556">
        <w:rPr>
          <w:rFonts w:eastAsia="Times New Roman"/>
          <w:color w:val="000000"/>
          <w:szCs w:val="24"/>
        </w:rPr>
        <w:t xml:space="preserve">a mechanism for </w:t>
      </w:r>
      <w:r w:rsidR="00A67375">
        <w:rPr>
          <w:rFonts w:eastAsia="Times New Roman"/>
          <w:color w:val="000000"/>
          <w:szCs w:val="24"/>
        </w:rPr>
        <w:t>compelling</w:t>
      </w:r>
      <w:r w:rsidRPr="00924A62">
        <w:rPr>
          <w:rFonts w:eastAsia="Times New Roman"/>
          <w:color w:val="000000"/>
          <w:szCs w:val="24"/>
        </w:rPr>
        <w:t xml:space="preserve"> pharmaceutical companies to share </w:t>
      </w:r>
      <w:r w:rsidR="00867930">
        <w:rPr>
          <w:rFonts w:eastAsia="Times New Roman"/>
          <w:color w:val="000000"/>
          <w:szCs w:val="24"/>
        </w:rPr>
        <w:t xml:space="preserve">the </w:t>
      </w:r>
      <w:r w:rsidRPr="00924A62">
        <w:rPr>
          <w:rFonts w:eastAsia="Times New Roman"/>
          <w:color w:val="000000"/>
          <w:szCs w:val="24"/>
        </w:rPr>
        <w:t xml:space="preserve">know-how that is needed </w:t>
      </w:r>
      <w:r w:rsidR="00B06A65">
        <w:rPr>
          <w:rFonts w:eastAsia="Times New Roman"/>
          <w:color w:val="000000"/>
          <w:szCs w:val="24"/>
        </w:rPr>
        <w:t xml:space="preserve">for third-party manufacturers </w:t>
      </w:r>
      <w:r w:rsidRPr="00924A62">
        <w:rPr>
          <w:rFonts w:eastAsia="Times New Roman"/>
          <w:color w:val="000000"/>
          <w:szCs w:val="24"/>
        </w:rPr>
        <w:t>to quickly replicate drugs.</w:t>
      </w:r>
      <w:r w:rsidR="00F35EA0">
        <w:rPr>
          <w:rFonts w:eastAsia="Times New Roman"/>
          <w:color w:val="000000"/>
          <w:szCs w:val="24"/>
        </w:rPr>
        <w:t xml:space="preserve"> Art. 39 requires member countries to protect</w:t>
      </w:r>
      <w:r w:rsidR="00B06A65">
        <w:rPr>
          <w:rFonts w:eastAsia="Times New Roman"/>
          <w:color w:val="000000"/>
          <w:szCs w:val="24"/>
        </w:rPr>
        <w:t xml:space="preserve"> trade secrets</w:t>
      </w:r>
      <w:r w:rsidR="00C82A8A">
        <w:rPr>
          <w:rFonts w:eastAsia="Times New Roman"/>
          <w:color w:val="000000"/>
          <w:szCs w:val="24"/>
        </w:rPr>
        <w:t xml:space="preserve"> </w:t>
      </w:r>
      <w:r w:rsidR="000640E6">
        <w:rPr>
          <w:rFonts w:eastAsia="Times New Roman"/>
          <w:color w:val="000000"/>
          <w:szCs w:val="24"/>
        </w:rPr>
        <w:t>and</w:t>
      </w:r>
      <w:r w:rsidR="00823556">
        <w:rPr>
          <w:rFonts w:eastAsia="Times New Roman"/>
          <w:color w:val="000000"/>
          <w:szCs w:val="24"/>
        </w:rPr>
        <w:t xml:space="preserve"> contains no provision allowing for compulsory licensing</w:t>
      </w:r>
      <w:r w:rsidR="003A0CD4">
        <w:rPr>
          <w:rFonts w:eastAsia="Times New Roman"/>
          <w:color w:val="000000"/>
          <w:szCs w:val="24"/>
        </w:rPr>
        <w:t>.</w:t>
      </w:r>
      <w:r w:rsidR="00B270A2">
        <w:rPr>
          <w:rStyle w:val="FootnoteReference"/>
          <w:rFonts w:eastAsia="Times New Roman"/>
          <w:color w:val="000000"/>
          <w:szCs w:val="24"/>
        </w:rPr>
        <w:footnoteReference w:id="23"/>
      </w:r>
      <w:r w:rsidRPr="00924A62">
        <w:rPr>
          <w:rFonts w:eastAsia="Times New Roman"/>
          <w:color w:val="000000"/>
          <w:szCs w:val="24"/>
        </w:rPr>
        <w:t xml:space="preserve"> </w:t>
      </w:r>
      <w:r w:rsidR="003A0CD4">
        <w:rPr>
          <w:rFonts w:eastAsia="Times New Roman"/>
          <w:color w:val="000000"/>
          <w:szCs w:val="24"/>
        </w:rPr>
        <w:t>Without manufacturing-related know-how, a</w:t>
      </w:r>
      <w:r w:rsidRPr="00924A62">
        <w:rPr>
          <w:rFonts w:eastAsia="Times New Roman"/>
          <w:color w:val="000000"/>
          <w:szCs w:val="24"/>
        </w:rPr>
        <w:t xml:space="preserve"> country may need years to </w:t>
      </w:r>
      <w:r w:rsidR="00151AD0">
        <w:rPr>
          <w:rFonts w:eastAsia="Times New Roman"/>
          <w:color w:val="000000"/>
          <w:szCs w:val="24"/>
        </w:rPr>
        <w:t xml:space="preserve">both </w:t>
      </w:r>
      <w:r w:rsidRPr="00924A62">
        <w:rPr>
          <w:rFonts w:eastAsia="Times New Roman"/>
          <w:color w:val="000000"/>
          <w:szCs w:val="24"/>
        </w:rPr>
        <w:t xml:space="preserve">recreate </w:t>
      </w:r>
      <w:r w:rsidR="00D1613D">
        <w:rPr>
          <w:rFonts w:eastAsia="Times New Roman"/>
          <w:color w:val="000000"/>
          <w:szCs w:val="24"/>
        </w:rPr>
        <w:t>a vaccine or other complex drug</w:t>
      </w:r>
      <w:r w:rsidR="00993664" w:rsidRPr="00924A62">
        <w:rPr>
          <w:rFonts w:eastAsia="Times New Roman"/>
          <w:color w:val="000000"/>
          <w:szCs w:val="24"/>
        </w:rPr>
        <w:t xml:space="preserve"> </w:t>
      </w:r>
      <w:r w:rsidRPr="00924A62">
        <w:rPr>
          <w:rFonts w:eastAsia="Times New Roman"/>
          <w:color w:val="000000"/>
          <w:szCs w:val="24"/>
        </w:rPr>
        <w:t>and gain regulatory approval.</w:t>
      </w:r>
      <w:r>
        <w:rPr>
          <w:rStyle w:val="FootnoteReference"/>
          <w:rFonts w:eastAsia="Times New Roman"/>
          <w:color w:val="000000"/>
          <w:szCs w:val="24"/>
        </w:rPr>
        <w:footnoteReference w:id="24"/>
      </w:r>
      <w:r w:rsidRPr="00924A62">
        <w:rPr>
          <w:rFonts w:eastAsia="Times New Roman"/>
          <w:color w:val="000000"/>
          <w:szCs w:val="24"/>
        </w:rPr>
        <w:t xml:space="preserve"> </w:t>
      </w:r>
      <w:r w:rsidR="00FE6777">
        <w:rPr>
          <w:rFonts w:eastAsia="Times New Roman"/>
          <w:color w:val="000000"/>
          <w:szCs w:val="24"/>
        </w:rPr>
        <w:t xml:space="preserve">Lower-income countries </w:t>
      </w:r>
      <w:r w:rsidR="00BC7B28">
        <w:rPr>
          <w:rFonts w:eastAsia="Times New Roman"/>
          <w:color w:val="000000"/>
          <w:szCs w:val="24"/>
        </w:rPr>
        <w:t xml:space="preserve">furthermore </w:t>
      </w:r>
      <w:r w:rsidR="00FE6777">
        <w:rPr>
          <w:rFonts w:eastAsia="Times New Roman"/>
          <w:color w:val="000000"/>
          <w:szCs w:val="24"/>
        </w:rPr>
        <w:t xml:space="preserve">risk </w:t>
      </w:r>
      <w:r w:rsidR="00C20E19">
        <w:rPr>
          <w:rFonts w:eastAsia="Times New Roman"/>
          <w:color w:val="000000"/>
          <w:szCs w:val="24"/>
        </w:rPr>
        <w:t xml:space="preserve">higher-income </w:t>
      </w:r>
      <w:r w:rsidR="00FE6777">
        <w:rPr>
          <w:rFonts w:eastAsia="Times New Roman"/>
          <w:color w:val="000000"/>
          <w:szCs w:val="24"/>
        </w:rPr>
        <w:t xml:space="preserve">countries retaliating </w:t>
      </w:r>
      <w:r w:rsidR="0098492F">
        <w:rPr>
          <w:rFonts w:eastAsia="Times New Roman"/>
          <w:color w:val="000000"/>
          <w:szCs w:val="24"/>
        </w:rPr>
        <w:t>against them</w:t>
      </w:r>
      <w:r w:rsidR="00DA61D3">
        <w:rPr>
          <w:rFonts w:eastAsia="Times New Roman"/>
          <w:color w:val="000000"/>
          <w:szCs w:val="24"/>
        </w:rPr>
        <w:t xml:space="preserve"> for using compulsory licensing</w:t>
      </w:r>
      <w:r w:rsidR="0098492F">
        <w:rPr>
          <w:rFonts w:eastAsia="Times New Roman"/>
          <w:color w:val="000000"/>
          <w:szCs w:val="24"/>
        </w:rPr>
        <w:t>.</w:t>
      </w:r>
      <w:r w:rsidR="001A6D58">
        <w:rPr>
          <w:rStyle w:val="FootnoteReference"/>
          <w:rFonts w:eastAsia="Times New Roman"/>
          <w:color w:val="000000"/>
          <w:szCs w:val="24"/>
        </w:rPr>
        <w:footnoteReference w:id="25"/>
      </w:r>
    </w:p>
    <w:p w14:paraId="5C1FB30C" w14:textId="08A7876A" w:rsidR="00940C9C" w:rsidRPr="001F79A2" w:rsidRDefault="00940C9C" w:rsidP="001F79A2">
      <w:pPr>
        <w:pStyle w:val="Heading1"/>
        <w:rPr>
          <w:rFonts w:eastAsia="Times New Roman"/>
        </w:rPr>
      </w:pPr>
      <w:r w:rsidRPr="00924A62">
        <w:rPr>
          <w:rFonts w:eastAsia="Times New Roman"/>
        </w:rPr>
        <w:t xml:space="preserve">II. </w:t>
      </w:r>
      <w:r w:rsidR="00316EFB">
        <w:rPr>
          <w:rFonts w:eastAsia="Times New Roman"/>
        </w:rPr>
        <w:t>Preparing for Pandemics and Epidemics: The Under-Explored Role</w:t>
      </w:r>
      <w:r w:rsidR="00502273">
        <w:rPr>
          <w:rFonts w:eastAsia="Times New Roman"/>
        </w:rPr>
        <w:t xml:space="preserve"> </w:t>
      </w:r>
      <w:r w:rsidR="00316EFB">
        <w:rPr>
          <w:rFonts w:eastAsia="Times New Roman"/>
        </w:rPr>
        <w:t>of Contracts</w:t>
      </w:r>
    </w:p>
    <w:p w14:paraId="63C9A31F" w14:textId="2E044AE2" w:rsidR="009F6B62" w:rsidRDefault="000A6FE5" w:rsidP="008A7B69">
      <w:pPr>
        <w:pStyle w:val="Body"/>
        <w:rPr>
          <w:rFonts w:eastAsia="Times New Roman"/>
          <w:color w:val="000000"/>
          <w:szCs w:val="24"/>
        </w:rPr>
      </w:pPr>
      <w:r>
        <w:rPr>
          <w:rFonts w:eastAsia="Times New Roman"/>
          <w:color w:val="000000"/>
          <w:szCs w:val="24"/>
        </w:rPr>
        <w:t>A</w:t>
      </w:r>
      <w:r w:rsidR="008A7B69">
        <w:rPr>
          <w:rFonts w:eastAsia="Times New Roman"/>
          <w:color w:val="000000"/>
          <w:szCs w:val="24"/>
        </w:rPr>
        <w:t xml:space="preserve">n </w:t>
      </w:r>
      <w:r w:rsidR="00924A62" w:rsidRPr="00924A62">
        <w:rPr>
          <w:rFonts w:eastAsia="Times New Roman"/>
          <w:color w:val="000000"/>
          <w:szCs w:val="24"/>
        </w:rPr>
        <w:t xml:space="preserve">underappreciated point in the literature is the fact that </w:t>
      </w:r>
      <w:r>
        <w:rPr>
          <w:rFonts w:eastAsia="Times New Roman"/>
          <w:color w:val="000000"/>
          <w:szCs w:val="24"/>
        </w:rPr>
        <w:t>many</w:t>
      </w:r>
      <w:r w:rsidR="00924A62" w:rsidRPr="00924A62">
        <w:rPr>
          <w:rFonts w:eastAsia="Times New Roman"/>
          <w:color w:val="000000"/>
          <w:szCs w:val="24"/>
        </w:rPr>
        <w:t xml:space="preserve"> components needed to produce </w:t>
      </w:r>
      <w:r w:rsidR="00A746BB">
        <w:rPr>
          <w:rFonts w:eastAsia="Times New Roman"/>
          <w:color w:val="000000"/>
          <w:szCs w:val="24"/>
        </w:rPr>
        <w:t>medicines</w:t>
      </w:r>
      <w:r>
        <w:rPr>
          <w:rFonts w:eastAsia="Times New Roman"/>
          <w:color w:val="000000"/>
          <w:szCs w:val="24"/>
        </w:rPr>
        <w:t xml:space="preserve"> for </w:t>
      </w:r>
      <w:r w:rsidR="00EF123F">
        <w:rPr>
          <w:rFonts w:eastAsia="Times New Roman"/>
          <w:color w:val="000000"/>
          <w:szCs w:val="24"/>
        </w:rPr>
        <w:t>pandemic and epidemic response</w:t>
      </w:r>
      <w:r w:rsidR="00924A62" w:rsidRPr="00924A62">
        <w:rPr>
          <w:rFonts w:eastAsia="Times New Roman"/>
          <w:color w:val="000000"/>
          <w:szCs w:val="24"/>
        </w:rPr>
        <w:t xml:space="preserve"> are developed well </w:t>
      </w:r>
      <w:r w:rsidR="00EF123F">
        <w:rPr>
          <w:rFonts w:eastAsia="Times New Roman"/>
          <w:color w:val="000000"/>
          <w:szCs w:val="24"/>
        </w:rPr>
        <w:t>in advance</w:t>
      </w:r>
      <w:r w:rsidR="00924A62" w:rsidRPr="00924A62">
        <w:rPr>
          <w:rFonts w:eastAsia="Times New Roman"/>
          <w:color w:val="000000"/>
          <w:szCs w:val="24"/>
        </w:rPr>
        <w:t>.</w:t>
      </w:r>
      <w:bookmarkStart w:id="3" w:name="_Ref101251566"/>
      <w:r w:rsidR="0061255B">
        <w:rPr>
          <w:rStyle w:val="FootnoteReference"/>
          <w:rFonts w:eastAsia="Times New Roman"/>
          <w:color w:val="000000"/>
          <w:szCs w:val="24"/>
        </w:rPr>
        <w:footnoteReference w:id="26"/>
      </w:r>
      <w:bookmarkEnd w:id="3"/>
      <w:r w:rsidR="00924A62" w:rsidRPr="00924A62">
        <w:rPr>
          <w:rFonts w:eastAsia="Times New Roman"/>
          <w:color w:val="000000"/>
          <w:szCs w:val="24"/>
        </w:rPr>
        <w:t xml:space="preserve"> </w:t>
      </w:r>
      <w:r w:rsidR="009F6B62" w:rsidRPr="00924A62">
        <w:rPr>
          <w:rFonts w:eastAsia="Times New Roman"/>
          <w:color w:val="000000"/>
          <w:szCs w:val="24"/>
        </w:rPr>
        <w:t>When an outbreak</w:t>
      </w:r>
      <w:r w:rsidR="009F6B62">
        <w:rPr>
          <w:rFonts w:eastAsia="Times New Roman"/>
          <w:color w:val="000000"/>
          <w:szCs w:val="24"/>
        </w:rPr>
        <w:t xml:space="preserve"> occurs</w:t>
      </w:r>
      <w:r w:rsidR="009F6B62" w:rsidRPr="00924A62">
        <w:rPr>
          <w:rFonts w:eastAsia="Times New Roman"/>
          <w:color w:val="000000"/>
          <w:szCs w:val="24"/>
        </w:rPr>
        <w:t>, the process of vaccine and drug development does not start from scratch</w:t>
      </w:r>
      <w:r w:rsidR="009F6B62">
        <w:rPr>
          <w:rFonts w:eastAsia="Times New Roman"/>
          <w:color w:val="000000"/>
          <w:szCs w:val="24"/>
        </w:rPr>
        <w:t>.</w:t>
      </w:r>
      <w:r w:rsidR="009F6B62" w:rsidRPr="00924A62">
        <w:rPr>
          <w:rFonts w:eastAsia="Times New Roman"/>
          <w:color w:val="000000"/>
          <w:szCs w:val="24"/>
        </w:rPr>
        <w:t xml:space="preserve"> </w:t>
      </w:r>
      <w:r w:rsidR="009F6B62">
        <w:rPr>
          <w:rFonts w:eastAsia="Times New Roman"/>
          <w:color w:val="000000"/>
          <w:szCs w:val="24"/>
        </w:rPr>
        <w:t>R</w:t>
      </w:r>
      <w:r w:rsidR="009F6B62" w:rsidRPr="00924A62">
        <w:rPr>
          <w:rFonts w:eastAsia="Times New Roman"/>
          <w:color w:val="000000"/>
          <w:szCs w:val="24"/>
        </w:rPr>
        <w:t>ather</w:t>
      </w:r>
      <w:r w:rsidR="009F6B62">
        <w:rPr>
          <w:rFonts w:eastAsia="Times New Roman"/>
          <w:color w:val="000000"/>
          <w:szCs w:val="24"/>
        </w:rPr>
        <w:t>, researchers adapt and use</w:t>
      </w:r>
      <w:r w:rsidR="009F6B62" w:rsidRPr="00924A62">
        <w:rPr>
          <w:rFonts w:eastAsia="Times New Roman"/>
          <w:color w:val="000000"/>
          <w:szCs w:val="24"/>
        </w:rPr>
        <w:t xml:space="preserve"> pre-existing technology to </w:t>
      </w:r>
      <w:r w:rsidR="009F6B62">
        <w:rPr>
          <w:rFonts w:eastAsia="Times New Roman"/>
          <w:color w:val="000000"/>
          <w:szCs w:val="24"/>
        </w:rPr>
        <w:t xml:space="preserve">address </w:t>
      </w:r>
      <w:r w:rsidR="009F6B62" w:rsidRPr="00924A62">
        <w:rPr>
          <w:rFonts w:eastAsia="Times New Roman"/>
          <w:color w:val="000000"/>
          <w:szCs w:val="24"/>
        </w:rPr>
        <w:t xml:space="preserve">the specific challenges posed by a new infectious disease. </w:t>
      </w:r>
    </w:p>
    <w:p w14:paraId="1B8E6926" w14:textId="4A9ACD5C" w:rsidR="004E0EF3" w:rsidRDefault="000A5377" w:rsidP="008A7B69">
      <w:pPr>
        <w:pStyle w:val="Body"/>
        <w:rPr>
          <w:rFonts w:eastAsia="Times New Roman"/>
          <w:color w:val="000000"/>
          <w:szCs w:val="24"/>
        </w:rPr>
      </w:pPr>
      <w:r>
        <w:rPr>
          <w:rFonts w:eastAsia="Times New Roman"/>
          <w:color w:val="000000"/>
          <w:szCs w:val="24"/>
        </w:rPr>
        <w:t>T</w:t>
      </w:r>
      <w:r w:rsidR="00775E57">
        <w:rPr>
          <w:rFonts w:eastAsia="Times New Roman"/>
          <w:color w:val="000000"/>
          <w:szCs w:val="24"/>
        </w:rPr>
        <w:t>he development of vaccines against Ebola and COVID-19</w:t>
      </w:r>
      <w:r>
        <w:rPr>
          <w:rFonts w:eastAsia="Times New Roman"/>
          <w:color w:val="000000"/>
          <w:szCs w:val="24"/>
        </w:rPr>
        <w:t xml:space="preserve"> provides a </w:t>
      </w:r>
      <w:r w:rsidR="00BE50C2">
        <w:rPr>
          <w:rFonts w:eastAsia="Times New Roman"/>
          <w:color w:val="000000"/>
          <w:szCs w:val="24"/>
        </w:rPr>
        <w:t>clear</w:t>
      </w:r>
      <w:r>
        <w:rPr>
          <w:rFonts w:eastAsia="Times New Roman"/>
          <w:color w:val="000000"/>
          <w:szCs w:val="24"/>
        </w:rPr>
        <w:t xml:space="preserve"> illustration</w:t>
      </w:r>
      <w:r w:rsidR="00924A62" w:rsidRPr="00924A62">
        <w:rPr>
          <w:rFonts w:eastAsia="Times New Roman"/>
          <w:color w:val="000000"/>
          <w:szCs w:val="24"/>
        </w:rPr>
        <w:t xml:space="preserve">. </w:t>
      </w:r>
      <w:r w:rsidR="001621DA">
        <w:rPr>
          <w:rFonts w:eastAsia="Times New Roman"/>
          <w:color w:val="000000"/>
          <w:szCs w:val="24"/>
        </w:rPr>
        <w:t xml:space="preserve">Vaccines for these diseases were </w:t>
      </w:r>
      <w:r w:rsidR="00176155">
        <w:rPr>
          <w:rFonts w:eastAsia="Times New Roman"/>
          <w:color w:val="000000"/>
          <w:szCs w:val="24"/>
        </w:rPr>
        <w:t xml:space="preserve">both </w:t>
      </w:r>
      <w:r w:rsidR="00924A62" w:rsidRPr="00924A62">
        <w:rPr>
          <w:rFonts w:eastAsia="Times New Roman"/>
          <w:color w:val="000000"/>
          <w:szCs w:val="24"/>
        </w:rPr>
        <w:t>the product of</w:t>
      </w:r>
      <w:r w:rsidR="00793299">
        <w:rPr>
          <w:rFonts w:eastAsia="Times New Roman"/>
          <w:color w:val="000000"/>
          <w:szCs w:val="24"/>
        </w:rPr>
        <w:t xml:space="preserve"> years of</w:t>
      </w:r>
      <w:r w:rsidR="00924A62" w:rsidRPr="00924A62">
        <w:rPr>
          <w:rFonts w:eastAsia="Times New Roman"/>
          <w:color w:val="000000"/>
          <w:szCs w:val="24"/>
        </w:rPr>
        <w:t xml:space="preserve"> pre-outbreak R&amp;D and technology transfer.</w:t>
      </w:r>
      <w:r w:rsidR="00FB6758">
        <w:rPr>
          <w:rStyle w:val="FootnoteReference"/>
          <w:rFonts w:eastAsia="Times New Roman"/>
          <w:color w:val="000000"/>
          <w:szCs w:val="24"/>
        </w:rPr>
        <w:footnoteReference w:id="27"/>
      </w:r>
      <w:r w:rsidR="00924A62" w:rsidRPr="00924A62">
        <w:rPr>
          <w:rFonts w:eastAsia="Times New Roman"/>
          <w:color w:val="000000"/>
          <w:szCs w:val="24"/>
        </w:rPr>
        <w:t xml:space="preserve"> </w:t>
      </w:r>
      <w:r w:rsidR="00176155">
        <w:rPr>
          <w:rFonts w:eastAsia="Times New Roman"/>
          <w:color w:val="000000"/>
          <w:szCs w:val="24"/>
        </w:rPr>
        <w:t>During</w:t>
      </w:r>
      <w:r w:rsidR="00924A62" w:rsidRPr="00924A62">
        <w:rPr>
          <w:rFonts w:eastAsia="Times New Roman"/>
          <w:color w:val="000000"/>
          <w:szCs w:val="24"/>
        </w:rPr>
        <w:t xml:space="preserve"> the 2014</w:t>
      </w:r>
      <w:r w:rsidR="00793299">
        <w:rPr>
          <w:rFonts w:eastAsia="Times New Roman"/>
          <w:color w:val="000000"/>
          <w:szCs w:val="24"/>
        </w:rPr>
        <w:t>–20</w:t>
      </w:r>
      <w:r w:rsidR="00924A62" w:rsidRPr="00924A62">
        <w:rPr>
          <w:rFonts w:eastAsia="Times New Roman"/>
          <w:color w:val="000000"/>
          <w:szCs w:val="24"/>
        </w:rPr>
        <w:t xml:space="preserve">16 </w:t>
      </w:r>
      <w:r w:rsidR="00793299">
        <w:rPr>
          <w:rFonts w:eastAsia="Times New Roman"/>
          <w:color w:val="000000"/>
          <w:szCs w:val="24"/>
        </w:rPr>
        <w:t xml:space="preserve">Ebola </w:t>
      </w:r>
      <w:r w:rsidR="00924A62" w:rsidRPr="00924A62">
        <w:rPr>
          <w:rFonts w:eastAsia="Times New Roman"/>
          <w:color w:val="000000"/>
          <w:szCs w:val="24"/>
        </w:rPr>
        <w:t>vaccine race</w:t>
      </w:r>
      <w:r w:rsidR="00176155">
        <w:rPr>
          <w:rFonts w:eastAsia="Times New Roman"/>
          <w:color w:val="000000"/>
          <w:szCs w:val="24"/>
        </w:rPr>
        <w:t>, t</w:t>
      </w:r>
      <w:r w:rsidR="00176155" w:rsidRPr="00924A62">
        <w:rPr>
          <w:rFonts w:eastAsia="Times New Roman"/>
          <w:color w:val="000000"/>
          <w:szCs w:val="24"/>
        </w:rPr>
        <w:t>he leading vaccine candidate</w:t>
      </w:r>
      <w:r w:rsidR="00924A62" w:rsidRPr="00924A62">
        <w:rPr>
          <w:rFonts w:eastAsia="Times New Roman"/>
          <w:color w:val="000000"/>
          <w:szCs w:val="24"/>
        </w:rPr>
        <w:t xml:space="preserve"> </w:t>
      </w:r>
      <w:r w:rsidR="00176155">
        <w:rPr>
          <w:rFonts w:eastAsia="Times New Roman"/>
          <w:color w:val="000000"/>
          <w:szCs w:val="24"/>
        </w:rPr>
        <w:t>had actually been</w:t>
      </w:r>
      <w:r w:rsidR="00176155" w:rsidRPr="00924A62">
        <w:rPr>
          <w:rFonts w:eastAsia="Times New Roman"/>
          <w:color w:val="000000"/>
          <w:szCs w:val="24"/>
        </w:rPr>
        <w:t xml:space="preserve"> </w:t>
      </w:r>
      <w:r w:rsidR="00924A62" w:rsidRPr="00924A62">
        <w:rPr>
          <w:rFonts w:eastAsia="Times New Roman"/>
          <w:color w:val="000000"/>
          <w:szCs w:val="24"/>
        </w:rPr>
        <w:t>developed by 2005</w:t>
      </w:r>
      <w:r w:rsidR="00176155">
        <w:rPr>
          <w:rFonts w:eastAsia="Times New Roman"/>
          <w:color w:val="000000"/>
          <w:szCs w:val="24"/>
        </w:rPr>
        <w:t>.</w:t>
      </w:r>
      <w:r w:rsidR="00924A62" w:rsidRPr="00924A62">
        <w:rPr>
          <w:rFonts w:eastAsia="Times New Roman"/>
          <w:color w:val="000000"/>
          <w:szCs w:val="24"/>
        </w:rPr>
        <w:t xml:space="preserve"> </w:t>
      </w:r>
      <w:r w:rsidR="00176155">
        <w:rPr>
          <w:rFonts w:eastAsia="Times New Roman"/>
          <w:color w:val="000000"/>
          <w:szCs w:val="24"/>
        </w:rPr>
        <w:t xml:space="preserve">It </w:t>
      </w:r>
      <w:r w:rsidR="00855A2B">
        <w:rPr>
          <w:rFonts w:eastAsia="Times New Roman"/>
          <w:color w:val="000000"/>
          <w:szCs w:val="24"/>
        </w:rPr>
        <w:t xml:space="preserve">did not come to market until 2019 due to </w:t>
      </w:r>
      <w:r w:rsidR="002A2B1C">
        <w:rPr>
          <w:rFonts w:eastAsia="Times New Roman"/>
          <w:color w:val="000000"/>
          <w:szCs w:val="24"/>
        </w:rPr>
        <w:t xml:space="preserve">a lack of </w:t>
      </w:r>
      <w:r w:rsidR="00924A62" w:rsidRPr="00924A62">
        <w:rPr>
          <w:rFonts w:eastAsia="Times New Roman"/>
          <w:color w:val="000000"/>
          <w:szCs w:val="24"/>
        </w:rPr>
        <w:t xml:space="preserve">private-sector interest </w:t>
      </w:r>
      <w:r w:rsidR="00924A62" w:rsidRPr="00924A62">
        <w:rPr>
          <w:rFonts w:eastAsia="Times New Roman"/>
          <w:color w:val="000000"/>
          <w:szCs w:val="24"/>
        </w:rPr>
        <w:lastRenderedPageBreak/>
        <w:t>in initiating clinical trials and seeking regulatory approval.</w:t>
      </w:r>
      <w:r w:rsidR="000C19AC">
        <w:rPr>
          <w:rStyle w:val="FootnoteReference"/>
          <w:rFonts w:eastAsia="Times New Roman"/>
          <w:color w:val="000000"/>
          <w:szCs w:val="24"/>
        </w:rPr>
        <w:footnoteReference w:id="28"/>
      </w:r>
      <w:r w:rsidR="00924A62" w:rsidRPr="00924A62">
        <w:rPr>
          <w:rFonts w:eastAsia="Times New Roman"/>
          <w:color w:val="000000"/>
          <w:szCs w:val="24"/>
        </w:rPr>
        <w:t xml:space="preserve"> Similarly, </w:t>
      </w:r>
      <w:r w:rsidR="00B665F4">
        <w:rPr>
          <w:rFonts w:eastAsia="Times New Roman"/>
          <w:color w:val="000000"/>
          <w:szCs w:val="24"/>
        </w:rPr>
        <w:t xml:space="preserve">Moderna and Pfizer’s </w:t>
      </w:r>
      <w:r w:rsidR="00855A2B">
        <w:rPr>
          <w:rFonts w:eastAsia="Times New Roman"/>
          <w:color w:val="000000"/>
          <w:szCs w:val="24"/>
        </w:rPr>
        <w:t>COVID-19</w:t>
      </w:r>
      <w:r w:rsidR="00924A62" w:rsidRPr="00924A62">
        <w:rPr>
          <w:rFonts w:eastAsia="Times New Roman"/>
          <w:color w:val="000000"/>
          <w:szCs w:val="24"/>
        </w:rPr>
        <w:t xml:space="preserve"> mRNA vaccines were made </w:t>
      </w:r>
      <w:r w:rsidR="002E1643" w:rsidRPr="00924A62">
        <w:rPr>
          <w:rFonts w:eastAsia="Times New Roman"/>
          <w:color w:val="000000"/>
          <w:szCs w:val="24"/>
        </w:rPr>
        <w:t>u</w:t>
      </w:r>
      <w:r w:rsidR="002E1643">
        <w:rPr>
          <w:rFonts w:eastAsia="Times New Roman"/>
          <w:color w:val="000000"/>
          <w:szCs w:val="24"/>
        </w:rPr>
        <w:t>tilizing</w:t>
      </w:r>
      <w:r w:rsidR="002E1643" w:rsidRPr="00924A62">
        <w:rPr>
          <w:rFonts w:eastAsia="Times New Roman"/>
          <w:color w:val="000000"/>
          <w:szCs w:val="24"/>
        </w:rPr>
        <w:t xml:space="preserve"> </w:t>
      </w:r>
      <w:r w:rsidR="00924A62" w:rsidRPr="00924A62">
        <w:rPr>
          <w:rFonts w:eastAsia="Times New Roman"/>
          <w:color w:val="000000"/>
          <w:szCs w:val="24"/>
        </w:rPr>
        <w:t>technology that had been in development for well over a decade.</w:t>
      </w:r>
      <w:r w:rsidR="001604FA">
        <w:rPr>
          <w:rStyle w:val="FootnoteReference"/>
          <w:rFonts w:eastAsia="Times New Roman"/>
          <w:color w:val="000000"/>
          <w:szCs w:val="24"/>
        </w:rPr>
        <w:footnoteReference w:id="29"/>
      </w:r>
      <w:r w:rsidR="00924A62" w:rsidRPr="00924A62">
        <w:rPr>
          <w:rFonts w:eastAsia="Times New Roman"/>
          <w:color w:val="000000"/>
          <w:szCs w:val="24"/>
        </w:rPr>
        <w:t> </w:t>
      </w:r>
    </w:p>
    <w:p w14:paraId="66203DC3" w14:textId="483EA1DD" w:rsidR="00C51CD5" w:rsidRDefault="00397D63" w:rsidP="00211243">
      <w:pPr>
        <w:pStyle w:val="Body"/>
        <w:rPr>
          <w:rFonts w:eastAsia="Times New Roman"/>
          <w:color w:val="000000"/>
          <w:szCs w:val="24"/>
        </w:rPr>
      </w:pPr>
      <w:r>
        <w:rPr>
          <w:rFonts w:eastAsia="Times New Roman"/>
          <w:color w:val="000000"/>
          <w:szCs w:val="24"/>
        </w:rPr>
        <w:t xml:space="preserve">The timing of </w:t>
      </w:r>
      <w:r w:rsidR="00AB2C47">
        <w:rPr>
          <w:rFonts w:eastAsia="Times New Roman"/>
          <w:color w:val="000000"/>
          <w:szCs w:val="24"/>
        </w:rPr>
        <w:t xml:space="preserve">drug development </w:t>
      </w:r>
      <w:r w:rsidR="00924A62" w:rsidRPr="00924A62">
        <w:rPr>
          <w:rFonts w:eastAsia="Times New Roman"/>
          <w:color w:val="000000"/>
          <w:szCs w:val="24"/>
        </w:rPr>
        <w:t>has implications for the practices surrounding technology transfer</w:t>
      </w:r>
      <w:r w:rsidR="009E3787">
        <w:rPr>
          <w:rFonts w:eastAsia="Times New Roman"/>
          <w:color w:val="000000"/>
          <w:szCs w:val="24"/>
        </w:rPr>
        <w:t>.</w:t>
      </w:r>
      <w:r>
        <w:rPr>
          <w:rFonts w:eastAsia="Times New Roman"/>
          <w:color w:val="000000"/>
          <w:szCs w:val="24"/>
        </w:rPr>
        <w:t xml:space="preserve"> During </w:t>
      </w:r>
      <w:r w:rsidRPr="00924A62">
        <w:rPr>
          <w:rFonts w:eastAsia="Times New Roman"/>
          <w:color w:val="000000"/>
          <w:szCs w:val="24"/>
        </w:rPr>
        <w:t xml:space="preserve">transnational public health crises, bargaining processes </w:t>
      </w:r>
      <w:r>
        <w:rPr>
          <w:rFonts w:eastAsia="Times New Roman"/>
          <w:color w:val="000000"/>
          <w:szCs w:val="24"/>
        </w:rPr>
        <w:t>will</w:t>
      </w:r>
      <w:r w:rsidRPr="00924A62">
        <w:rPr>
          <w:rFonts w:eastAsia="Times New Roman"/>
          <w:color w:val="000000"/>
          <w:szCs w:val="24"/>
        </w:rPr>
        <w:t xml:space="preserve"> be rushed, tinged by geopolitics and limited by resource scarcity</w:t>
      </w:r>
      <w:r>
        <w:rPr>
          <w:rFonts w:eastAsia="Times New Roman"/>
          <w:color w:val="000000"/>
          <w:szCs w:val="24"/>
        </w:rPr>
        <w:t>,</w:t>
      </w:r>
      <w:r>
        <w:rPr>
          <w:rStyle w:val="FootnoteReference"/>
          <w:rFonts w:eastAsia="Times New Roman"/>
          <w:color w:val="000000"/>
          <w:szCs w:val="24"/>
        </w:rPr>
        <w:footnoteReference w:id="30"/>
      </w:r>
      <w:r w:rsidRPr="00924A62">
        <w:rPr>
          <w:rFonts w:eastAsia="Times New Roman"/>
          <w:color w:val="000000"/>
          <w:szCs w:val="24"/>
        </w:rPr>
        <w:t xml:space="preserve"> </w:t>
      </w:r>
      <w:r>
        <w:rPr>
          <w:rFonts w:eastAsia="Times New Roman"/>
          <w:color w:val="000000"/>
          <w:szCs w:val="24"/>
        </w:rPr>
        <w:t>making it difficult to address allocative inequalities among countries</w:t>
      </w:r>
      <w:r w:rsidRPr="00924A62">
        <w:rPr>
          <w:rFonts w:eastAsia="Times New Roman"/>
          <w:color w:val="000000"/>
          <w:szCs w:val="24"/>
        </w:rPr>
        <w:t>.</w:t>
      </w:r>
      <w:r w:rsidR="00C47EC6">
        <w:rPr>
          <w:rFonts w:eastAsia="Times New Roman"/>
          <w:color w:val="000000"/>
          <w:szCs w:val="24"/>
        </w:rPr>
        <w:t xml:space="preserve"> </w:t>
      </w:r>
      <w:r>
        <w:rPr>
          <w:rFonts w:eastAsia="Times New Roman"/>
          <w:color w:val="000000"/>
          <w:szCs w:val="24"/>
        </w:rPr>
        <w:t>Yet, f</w:t>
      </w:r>
      <w:r w:rsidR="00C47EC6">
        <w:rPr>
          <w:rFonts w:eastAsia="Times New Roman"/>
          <w:color w:val="000000"/>
          <w:szCs w:val="24"/>
        </w:rPr>
        <w:t>unding</w:t>
      </w:r>
      <w:r w:rsidR="00924A62" w:rsidRPr="00924A62">
        <w:rPr>
          <w:rFonts w:eastAsia="Times New Roman"/>
          <w:color w:val="000000"/>
          <w:szCs w:val="24"/>
        </w:rPr>
        <w:t xml:space="preserve"> contracts governing R&amp;D, transfer</w:t>
      </w:r>
      <w:r w:rsidR="00D7472F">
        <w:rPr>
          <w:rFonts w:eastAsia="Times New Roman"/>
          <w:color w:val="000000"/>
          <w:szCs w:val="24"/>
        </w:rPr>
        <w:t>,</w:t>
      </w:r>
      <w:r w:rsidR="00924A62" w:rsidRPr="00924A62">
        <w:rPr>
          <w:rFonts w:eastAsia="Times New Roman"/>
          <w:color w:val="000000"/>
          <w:szCs w:val="24"/>
        </w:rPr>
        <w:t xml:space="preserve"> and commercialization of these </w:t>
      </w:r>
      <w:r w:rsidR="00C47EC6">
        <w:rPr>
          <w:rFonts w:eastAsia="Times New Roman"/>
          <w:color w:val="000000"/>
          <w:szCs w:val="24"/>
        </w:rPr>
        <w:t>medicines</w:t>
      </w:r>
      <w:r w:rsidR="00924A62" w:rsidRPr="00924A62">
        <w:rPr>
          <w:rFonts w:eastAsia="Times New Roman"/>
          <w:color w:val="000000"/>
          <w:szCs w:val="24"/>
        </w:rPr>
        <w:t xml:space="preserve"> </w:t>
      </w:r>
      <w:r w:rsidR="00C47EC6">
        <w:rPr>
          <w:rFonts w:eastAsia="Times New Roman"/>
          <w:color w:val="000000"/>
          <w:szCs w:val="24"/>
        </w:rPr>
        <w:t xml:space="preserve">generally </w:t>
      </w:r>
      <w:r w:rsidR="00924A62" w:rsidRPr="00924A62">
        <w:rPr>
          <w:rFonts w:eastAsia="Times New Roman"/>
          <w:color w:val="000000"/>
          <w:szCs w:val="24"/>
        </w:rPr>
        <w:t xml:space="preserve">pre-date the </w:t>
      </w:r>
      <w:r w:rsidR="00C47EC6">
        <w:rPr>
          <w:rFonts w:eastAsia="Times New Roman"/>
          <w:color w:val="000000"/>
          <w:szCs w:val="24"/>
        </w:rPr>
        <w:t>outbreak</w:t>
      </w:r>
      <w:r w:rsidR="00924A62" w:rsidRPr="00924A62">
        <w:rPr>
          <w:rFonts w:eastAsia="Times New Roman"/>
          <w:color w:val="000000"/>
          <w:szCs w:val="24"/>
        </w:rPr>
        <w:t xml:space="preserve"> causing a spike in demand. </w:t>
      </w:r>
      <w:r w:rsidR="00C51CD5">
        <w:rPr>
          <w:rFonts w:eastAsia="Times New Roman"/>
          <w:color w:val="000000"/>
          <w:szCs w:val="24"/>
        </w:rPr>
        <w:t>Consequently</w:t>
      </w:r>
      <w:r w:rsidR="00924A62" w:rsidRPr="00924A62">
        <w:rPr>
          <w:rFonts w:eastAsia="Times New Roman"/>
          <w:color w:val="000000"/>
          <w:szCs w:val="24"/>
        </w:rPr>
        <w:t>,</w:t>
      </w:r>
      <w:r w:rsidR="00850C4A">
        <w:rPr>
          <w:rFonts w:eastAsia="Times New Roman"/>
          <w:color w:val="000000"/>
          <w:szCs w:val="24"/>
        </w:rPr>
        <w:t xml:space="preserve"> at least some of</w:t>
      </w:r>
      <w:r w:rsidR="00924A62" w:rsidRPr="00924A62">
        <w:rPr>
          <w:rFonts w:eastAsia="Times New Roman"/>
          <w:color w:val="000000"/>
          <w:szCs w:val="24"/>
        </w:rPr>
        <w:t xml:space="preserve"> the contractual </w:t>
      </w:r>
      <w:r w:rsidR="00C51CD5">
        <w:rPr>
          <w:rFonts w:eastAsia="Times New Roman"/>
          <w:color w:val="000000"/>
          <w:szCs w:val="24"/>
        </w:rPr>
        <w:t>requirements governing</w:t>
      </w:r>
      <w:r w:rsidR="009E3787">
        <w:rPr>
          <w:rFonts w:eastAsia="Times New Roman"/>
          <w:color w:val="000000"/>
          <w:szCs w:val="24"/>
        </w:rPr>
        <w:t xml:space="preserve"> the </w:t>
      </w:r>
      <w:r w:rsidR="00794723">
        <w:rPr>
          <w:rFonts w:eastAsia="Times New Roman"/>
          <w:color w:val="000000"/>
          <w:szCs w:val="24"/>
        </w:rPr>
        <w:t xml:space="preserve">sharing and transferring of technology </w:t>
      </w:r>
      <w:r w:rsidR="00924A62" w:rsidRPr="00924A62">
        <w:rPr>
          <w:rFonts w:eastAsia="Times New Roman"/>
          <w:color w:val="000000"/>
          <w:szCs w:val="24"/>
        </w:rPr>
        <w:t xml:space="preserve">during a pandemic or epidemic </w:t>
      </w:r>
      <w:r w:rsidR="00F86D99">
        <w:rPr>
          <w:rFonts w:eastAsia="Times New Roman"/>
          <w:color w:val="000000"/>
          <w:szCs w:val="24"/>
        </w:rPr>
        <w:t>can be</w:t>
      </w:r>
      <w:r w:rsidR="00924A62" w:rsidRPr="00924A62">
        <w:rPr>
          <w:rFonts w:eastAsia="Times New Roman"/>
          <w:color w:val="000000"/>
          <w:szCs w:val="24"/>
        </w:rPr>
        <w:t xml:space="preserve"> established </w:t>
      </w:r>
      <w:r w:rsidR="00794723">
        <w:rPr>
          <w:rFonts w:eastAsia="Times New Roman"/>
          <w:color w:val="000000"/>
          <w:szCs w:val="24"/>
        </w:rPr>
        <w:t>when demand</w:t>
      </w:r>
      <w:r w:rsidR="00924A62" w:rsidRPr="00924A62">
        <w:rPr>
          <w:rFonts w:eastAsia="Times New Roman"/>
          <w:color w:val="000000"/>
          <w:szCs w:val="24"/>
        </w:rPr>
        <w:t xml:space="preserve"> is lower—well before</w:t>
      </w:r>
      <w:r w:rsidR="00F30FFB">
        <w:rPr>
          <w:rFonts w:eastAsia="Times New Roman"/>
          <w:color w:val="000000"/>
          <w:szCs w:val="24"/>
        </w:rPr>
        <w:t xml:space="preserve"> bidding wars </w:t>
      </w:r>
      <w:r w:rsidR="008F7F99">
        <w:rPr>
          <w:rFonts w:eastAsia="Times New Roman"/>
          <w:color w:val="000000"/>
          <w:szCs w:val="24"/>
        </w:rPr>
        <w:t>to pre-purchase</w:t>
      </w:r>
      <w:r w:rsidR="00F30FFB">
        <w:rPr>
          <w:rFonts w:eastAsia="Times New Roman"/>
          <w:color w:val="000000"/>
          <w:szCs w:val="24"/>
        </w:rPr>
        <w:t xml:space="preserve"> most of the</w:t>
      </w:r>
      <w:r w:rsidR="00924A62" w:rsidRPr="00924A62">
        <w:rPr>
          <w:rFonts w:eastAsia="Times New Roman"/>
          <w:color w:val="000000"/>
          <w:szCs w:val="24"/>
        </w:rPr>
        <w:t xml:space="preserve"> vaccines or treatments</w:t>
      </w:r>
      <w:r w:rsidR="00126F9D">
        <w:rPr>
          <w:rFonts w:eastAsia="Times New Roman"/>
          <w:color w:val="000000"/>
          <w:szCs w:val="24"/>
        </w:rPr>
        <w:t xml:space="preserve"> occur</w:t>
      </w:r>
      <w:r w:rsidR="00924A62" w:rsidRPr="00924A62">
        <w:rPr>
          <w:rFonts w:eastAsia="Times New Roman"/>
          <w:color w:val="000000"/>
          <w:szCs w:val="24"/>
        </w:rPr>
        <w:t xml:space="preserve">.  </w:t>
      </w:r>
    </w:p>
    <w:p w14:paraId="371EAF73" w14:textId="5209ED1A" w:rsidR="00924A62" w:rsidRPr="00924A62" w:rsidRDefault="00E94799" w:rsidP="00AE0A4E">
      <w:pPr>
        <w:pStyle w:val="Body"/>
      </w:pPr>
      <w:r>
        <w:rPr>
          <w:rFonts w:eastAsia="Times New Roman"/>
          <w:color w:val="000000"/>
          <w:szCs w:val="24"/>
        </w:rPr>
        <w:t>W</w:t>
      </w:r>
      <w:r w:rsidR="00924A62" w:rsidRPr="00924A62">
        <w:rPr>
          <w:rFonts w:eastAsia="Times New Roman"/>
          <w:color w:val="000000"/>
          <w:szCs w:val="24"/>
        </w:rPr>
        <w:t xml:space="preserve">e </w:t>
      </w:r>
      <w:r>
        <w:rPr>
          <w:rFonts w:eastAsia="Times New Roman"/>
          <w:color w:val="000000"/>
          <w:szCs w:val="24"/>
        </w:rPr>
        <w:t xml:space="preserve">therefore </w:t>
      </w:r>
      <w:r w:rsidR="00924A62" w:rsidRPr="00924A62">
        <w:rPr>
          <w:rFonts w:eastAsia="Times New Roman"/>
          <w:color w:val="000000"/>
          <w:szCs w:val="24"/>
        </w:rPr>
        <w:t xml:space="preserve">suggest </w:t>
      </w:r>
      <w:r w:rsidR="00506AA7">
        <w:rPr>
          <w:rFonts w:eastAsia="Times New Roman"/>
          <w:color w:val="000000"/>
          <w:szCs w:val="24"/>
        </w:rPr>
        <w:t>below</w:t>
      </w:r>
      <w:r w:rsidR="00924A62" w:rsidRPr="00924A62">
        <w:rPr>
          <w:rFonts w:eastAsia="Times New Roman"/>
          <w:color w:val="000000"/>
          <w:szCs w:val="24"/>
        </w:rPr>
        <w:t xml:space="preserve"> that bargaining</w:t>
      </w:r>
      <w:r w:rsidR="00966347">
        <w:rPr>
          <w:rFonts w:eastAsia="Times New Roman"/>
          <w:color w:val="000000"/>
          <w:szCs w:val="24"/>
        </w:rPr>
        <w:t xml:space="preserve"> regarding the transfer of technology take place</w:t>
      </w:r>
      <w:r w:rsidR="00924A62" w:rsidRPr="00924A62">
        <w:rPr>
          <w:rFonts w:eastAsia="Times New Roman"/>
          <w:color w:val="000000"/>
          <w:szCs w:val="24"/>
        </w:rPr>
        <w:t xml:space="preserve"> as </w:t>
      </w:r>
      <w:r w:rsidR="00966347">
        <w:rPr>
          <w:rFonts w:eastAsia="Times New Roman"/>
          <w:color w:val="000000"/>
          <w:szCs w:val="24"/>
        </w:rPr>
        <w:t>far</w:t>
      </w:r>
      <w:r w:rsidR="00966347" w:rsidRPr="00924A62">
        <w:rPr>
          <w:rFonts w:eastAsia="Times New Roman"/>
          <w:color w:val="000000"/>
          <w:szCs w:val="24"/>
        </w:rPr>
        <w:t xml:space="preserve"> </w:t>
      </w:r>
      <w:r w:rsidR="00924A62" w:rsidRPr="00924A62">
        <w:rPr>
          <w:rFonts w:eastAsia="Times New Roman"/>
          <w:color w:val="000000"/>
          <w:szCs w:val="24"/>
        </w:rPr>
        <w:t>in advance as possible</w:t>
      </w:r>
      <w:r w:rsidR="009B7907">
        <w:rPr>
          <w:rFonts w:eastAsia="Times New Roman"/>
          <w:color w:val="000000"/>
          <w:szCs w:val="24"/>
        </w:rPr>
        <w:t>.</w:t>
      </w:r>
      <w:r w:rsidR="00924A62" w:rsidRPr="00924A62">
        <w:rPr>
          <w:rFonts w:eastAsia="Times New Roman"/>
          <w:color w:val="000000"/>
          <w:szCs w:val="24"/>
        </w:rPr>
        <w:t xml:space="preserve"> </w:t>
      </w:r>
      <w:r w:rsidR="009B7907">
        <w:rPr>
          <w:rFonts w:eastAsia="Times New Roman"/>
          <w:color w:val="000000"/>
          <w:szCs w:val="24"/>
        </w:rPr>
        <w:t xml:space="preserve">Furthermore, </w:t>
      </w:r>
      <w:r w:rsidR="00924A62" w:rsidRPr="00924A62">
        <w:rPr>
          <w:rFonts w:eastAsia="Times New Roman"/>
          <w:color w:val="000000"/>
          <w:szCs w:val="24"/>
        </w:rPr>
        <w:t xml:space="preserve">attempts to promote </w:t>
      </w:r>
      <w:r w:rsidR="009B7907">
        <w:rPr>
          <w:rFonts w:eastAsia="Times New Roman"/>
          <w:color w:val="000000"/>
          <w:szCs w:val="24"/>
        </w:rPr>
        <w:t xml:space="preserve">the </w:t>
      </w:r>
      <w:r w:rsidR="00924A62" w:rsidRPr="00924A62">
        <w:rPr>
          <w:rFonts w:eastAsia="Times New Roman"/>
          <w:color w:val="000000"/>
          <w:szCs w:val="24"/>
        </w:rPr>
        <w:t xml:space="preserve">fair allocation of pandemic and epidemic health goods </w:t>
      </w:r>
      <w:r w:rsidR="009B7907">
        <w:rPr>
          <w:rFonts w:eastAsia="Times New Roman"/>
          <w:color w:val="000000"/>
          <w:szCs w:val="24"/>
        </w:rPr>
        <w:t xml:space="preserve">should </w:t>
      </w:r>
      <w:r w:rsidR="00E77B5B">
        <w:rPr>
          <w:rFonts w:eastAsia="Times New Roman"/>
          <w:color w:val="000000"/>
          <w:szCs w:val="24"/>
        </w:rPr>
        <w:t>occur ideally</w:t>
      </w:r>
      <w:r w:rsidR="00924A62" w:rsidRPr="00924A62">
        <w:rPr>
          <w:rFonts w:eastAsia="Times New Roman"/>
          <w:color w:val="000000"/>
          <w:szCs w:val="24"/>
        </w:rPr>
        <w:t xml:space="preserve"> in the pre-pandemic or epidemic period. We </w:t>
      </w:r>
      <w:r w:rsidR="00DF4966">
        <w:rPr>
          <w:rFonts w:eastAsia="Times New Roman"/>
          <w:color w:val="000000"/>
          <w:szCs w:val="24"/>
        </w:rPr>
        <w:t>discuss</w:t>
      </w:r>
      <w:r w:rsidR="00DF4966" w:rsidRPr="00924A62">
        <w:rPr>
          <w:rFonts w:eastAsia="Times New Roman"/>
          <w:color w:val="000000"/>
          <w:szCs w:val="24"/>
        </w:rPr>
        <w:t xml:space="preserve"> </w:t>
      </w:r>
      <w:r w:rsidR="00924A62" w:rsidRPr="00924A62">
        <w:rPr>
          <w:rFonts w:eastAsia="Times New Roman"/>
          <w:color w:val="000000"/>
          <w:szCs w:val="24"/>
        </w:rPr>
        <w:t xml:space="preserve">two different approaches that R&amp;D funders </w:t>
      </w:r>
      <w:r w:rsidR="00DE1969">
        <w:rPr>
          <w:rFonts w:eastAsia="Times New Roman"/>
          <w:color w:val="000000"/>
          <w:szCs w:val="24"/>
        </w:rPr>
        <w:t>could</w:t>
      </w:r>
      <w:r w:rsidR="00DE1969" w:rsidRPr="00924A62">
        <w:rPr>
          <w:rFonts w:eastAsia="Times New Roman"/>
          <w:color w:val="000000"/>
          <w:szCs w:val="24"/>
        </w:rPr>
        <w:t xml:space="preserve"> </w:t>
      </w:r>
      <w:r w:rsidR="00924A62" w:rsidRPr="00924A62">
        <w:rPr>
          <w:rFonts w:eastAsia="Times New Roman"/>
          <w:color w:val="000000"/>
          <w:szCs w:val="24"/>
        </w:rPr>
        <w:t xml:space="preserve">use to </w:t>
      </w:r>
      <w:r w:rsidR="009B7907">
        <w:rPr>
          <w:rFonts w:eastAsia="Times New Roman"/>
          <w:color w:val="000000"/>
          <w:szCs w:val="24"/>
        </w:rPr>
        <w:t>address</w:t>
      </w:r>
      <w:r w:rsidR="009B7907" w:rsidRPr="00924A62">
        <w:rPr>
          <w:rFonts w:eastAsia="Times New Roman"/>
          <w:color w:val="000000"/>
          <w:szCs w:val="24"/>
        </w:rPr>
        <w:t xml:space="preserve"> </w:t>
      </w:r>
      <w:r w:rsidR="00924A62" w:rsidRPr="00924A62">
        <w:rPr>
          <w:rFonts w:eastAsia="Times New Roman"/>
          <w:color w:val="000000"/>
          <w:szCs w:val="24"/>
        </w:rPr>
        <w:t xml:space="preserve">affordability and/or equitable allocation obligations </w:t>
      </w:r>
      <w:r w:rsidR="009B7907">
        <w:rPr>
          <w:rFonts w:eastAsia="Times New Roman"/>
          <w:color w:val="000000"/>
          <w:szCs w:val="24"/>
        </w:rPr>
        <w:t xml:space="preserve">in </w:t>
      </w:r>
      <w:r w:rsidR="00924A62" w:rsidRPr="00924A62">
        <w:rPr>
          <w:rFonts w:eastAsia="Times New Roman"/>
          <w:color w:val="000000"/>
          <w:szCs w:val="24"/>
        </w:rPr>
        <w:t xml:space="preserve">funding contracts governing R&amp;D on these goods. </w:t>
      </w:r>
      <w:r w:rsidR="00BA6F3D">
        <w:rPr>
          <w:rFonts w:eastAsia="Times New Roman"/>
          <w:color w:val="000000"/>
          <w:szCs w:val="24"/>
        </w:rPr>
        <w:t>Many</w:t>
      </w:r>
      <w:r w:rsidR="00924A62" w:rsidRPr="00924A62">
        <w:rPr>
          <w:rFonts w:eastAsia="Times New Roman"/>
          <w:color w:val="000000"/>
          <w:szCs w:val="24"/>
        </w:rPr>
        <w:t xml:space="preserve"> </w:t>
      </w:r>
      <w:r w:rsidR="00DF4966">
        <w:rPr>
          <w:rFonts w:eastAsia="Times New Roman"/>
          <w:color w:val="000000"/>
          <w:szCs w:val="24"/>
        </w:rPr>
        <w:t>existing pro</w:t>
      </w:r>
      <w:r w:rsidR="004B12EA">
        <w:rPr>
          <w:rFonts w:eastAsia="Times New Roman"/>
          <w:color w:val="000000"/>
          <w:szCs w:val="24"/>
        </w:rPr>
        <w:t>posals</w:t>
      </w:r>
      <w:r w:rsidR="00924A62" w:rsidRPr="00924A62">
        <w:rPr>
          <w:rFonts w:eastAsia="Times New Roman"/>
          <w:color w:val="000000"/>
          <w:szCs w:val="24"/>
        </w:rPr>
        <w:t xml:space="preserve"> to expand access to medicines during pandemics and epidemics occur ex post by constraint—as product scarcity and nationalist behaviors combine to exclude populations in lower-income countries. By contrast, our proposed framework would operate largely ex ante, creat</w:t>
      </w:r>
      <w:r w:rsidR="00557511">
        <w:rPr>
          <w:rFonts w:eastAsia="Times New Roman"/>
          <w:color w:val="000000"/>
          <w:szCs w:val="24"/>
        </w:rPr>
        <w:t>ing</w:t>
      </w:r>
      <w:r w:rsidR="00924A62" w:rsidRPr="00924A62">
        <w:rPr>
          <w:rFonts w:eastAsia="Times New Roman"/>
          <w:color w:val="000000"/>
          <w:szCs w:val="24"/>
        </w:rPr>
        <w:t xml:space="preserve"> binding contractual obligations that arise if and when</w:t>
      </w:r>
      <w:r w:rsidR="00557511">
        <w:rPr>
          <w:rFonts w:eastAsia="Times New Roman"/>
          <w:color w:val="000000"/>
          <w:szCs w:val="24"/>
        </w:rPr>
        <w:t xml:space="preserve"> </w:t>
      </w:r>
      <w:r w:rsidR="00924A62" w:rsidRPr="00924A62">
        <w:rPr>
          <w:rFonts w:eastAsia="Times New Roman"/>
          <w:color w:val="000000"/>
          <w:szCs w:val="24"/>
        </w:rPr>
        <w:t>pandemic or epidemic</w:t>
      </w:r>
      <w:r w:rsidR="00557511">
        <w:rPr>
          <w:rFonts w:eastAsia="Times New Roman"/>
          <w:color w:val="000000"/>
          <w:szCs w:val="24"/>
        </w:rPr>
        <w:t>-driven scarcity</w:t>
      </w:r>
      <w:r w:rsidR="00924A62" w:rsidRPr="00924A62">
        <w:rPr>
          <w:rFonts w:eastAsia="Times New Roman"/>
          <w:color w:val="000000"/>
          <w:szCs w:val="24"/>
        </w:rPr>
        <w:t xml:space="preserve"> occurs. </w:t>
      </w:r>
    </w:p>
    <w:p w14:paraId="2A381E0B" w14:textId="77777777" w:rsidR="00924A62" w:rsidRPr="00924A62" w:rsidRDefault="00924A62" w:rsidP="00F25B04">
      <w:pPr>
        <w:pStyle w:val="Heading1"/>
        <w:rPr>
          <w:rFonts w:eastAsia="Times New Roman"/>
        </w:rPr>
      </w:pPr>
      <w:r w:rsidRPr="00924A62">
        <w:rPr>
          <w:rFonts w:eastAsia="Times New Roman"/>
        </w:rPr>
        <w:t>III. Safeguarding Drug Access Through Pandemic-Specific Funding Agreements</w:t>
      </w:r>
    </w:p>
    <w:p w14:paraId="01F3BCC1" w14:textId="537EEBBB" w:rsidR="001C6F3C" w:rsidRDefault="00165FE6" w:rsidP="009935B2">
      <w:pPr>
        <w:pStyle w:val="Body"/>
        <w:rPr>
          <w:rFonts w:eastAsia="Times New Roman"/>
          <w:color w:val="000000"/>
          <w:szCs w:val="24"/>
        </w:rPr>
      </w:pPr>
      <w:r>
        <w:rPr>
          <w:rFonts w:eastAsia="Times New Roman"/>
          <w:color w:val="000000"/>
          <w:szCs w:val="24"/>
        </w:rPr>
        <w:t>When funding</w:t>
      </w:r>
      <w:r w:rsidR="00924A62" w:rsidRPr="00924A62">
        <w:rPr>
          <w:rFonts w:eastAsia="Times New Roman"/>
          <w:color w:val="000000"/>
          <w:szCs w:val="24"/>
        </w:rPr>
        <w:t xml:space="preserve"> </w:t>
      </w:r>
      <w:r w:rsidR="00D37653">
        <w:rPr>
          <w:rFonts w:eastAsia="Times New Roman"/>
          <w:color w:val="000000"/>
          <w:szCs w:val="24"/>
        </w:rPr>
        <w:t xml:space="preserve">the development of medicines </w:t>
      </w:r>
      <w:r w:rsidR="006A517B">
        <w:rPr>
          <w:rFonts w:eastAsia="Times New Roman"/>
          <w:color w:val="000000"/>
          <w:szCs w:val="24"/>
        </w:rPr>
        <w:t xml:space="preserve">that are </w:t>
      </w:r>
      <w:r w:rsidR="00D37653">
        <w:rPr>
          <w:rFonts w:eastAsia="Times New Roman"/>
          <w:color w:val="000000"/>
          <w:szCs w:val="24"/>
        </w:rPr>
        <w:t xml:space="preserve">likely </w:t>
      </w:r>
      <w:r w:rsidR="00C61541">
        <w:rPr>
          <w:rFonts w:eastAsia="Times New Roman"/>
          <w:color w:val="000000"/>
          <w:szCs w:val="24"/>
        </w:rPr>
        <w:t xml:space="preserve">to be </w:t>
      </w:r>
      <w:r w:rsidR="00D37653">
        <w:rPr>
          <w:rFonts w:eastAsia="Times New Roman"/>
          <w:color w:val="000000"/>
          <w:szCs w:val="24"/>
        </w:rPr>
        <w:t xml:space="preserve">needed </w:t>
      </w:r>
      <w:r w:rsidR="006A517B">
        <w:rPr>
          <w:rFonts w:eastAsia="Times New Roman"/>
          <w:color w:val="000000"/>
          <w:szCs w:val="24"/>
        </w:rPr>
        <w:t xml:space="preserve">for </w:t>
      </w:r>
      <w:r w:rsidR="00D62AA3">
        <w:rPr>
          <w:rFonts w:eastAsia="Times New Roman"/>
          <w:color w:val="000000"/>
          <w:szCs w:val="24"/>
        </w:rPr>
        <w:t xml:space="preserve">a </w:t>
      </w:r>
      <w:r w:rsidR="006A517B">
        <w:rPr>
          <w:rFonts w:eastAsia="Times New Roman"/>
          <w:color w:val="000000"/>
          <w:szCs w:val="24"/>
        </w:rPr>
        <w:t>pandemic or epidemic response</w:t>
      </w:r>
      <w:r>
        <w:rPr>
          <w:rFonts w:eastAsia="Times New Roman"/>
          <w:color w:val="000000"/>
          <w:szCs w:val="24"/>
        </w:rPr>
        <w:t>, entities</w:t>
      </w:r>
      <w:r w:rsidR="00924A62" w:rsidRPr="00924A62">
        <w:rPr>
          <w:rFonts w:eastAsia="Times New Roman"/>
          <w:color w:val="000000"/>
          <w:szCs w:val="24"/>
        </w:rPr>
        <w:t xml:space="preserve"> could use </w:t>
      </w:r>
      <w:r w:rsidR="00BF0CD5">
        <w:rPr>
          <w:rFonts w:eastAsia="Times New Roman"/>
          <w:color w:val="000000"/>
          <w:szCs w:val="24"/>
        </w:rPr>
        <w:t>the</w:t>
      </w:r>
      <w:r w:rsidR="00813A65">
        <w:rPr>
          <w:rFonts w:eastAsia="Times New Roman"/>
          <w:color w:val="000000"/>
          <w:szCs w:val="24"/>
        </w:rPr>
        <w:t>ir</w:t>
      </w:r>
      <w:r w:rsidR="00BF0CD5">
        <w:rPr>
          <w:rFonts w:eastAsia="Times New Roman"/>
          <w:color w:val="000000"/>
          <w:szCs w:val="24"/>
        </w:rPr>
        <w:t xml:space="preserve"> funding contracts</w:t>
      </w:r>
      <w:r w:rsidR="00924A62" w:rsidRPr="00924A62">
        <w:rPr>
          <w:rFonts w:eastAsia="Times New Roman"/>
          <w:color w:val="000000"/>
          <w:szCs w:val="24"/>
        </w:rPr>
        <w:t xml:space="preserve"> to proactively anticipate scarcity and pricing problems. First, they could </w:t>
      </w:r>
      <w:r w:rsidR="002A764E">
        <w:rPr>
          <w:rFonts w:eastAsia="Times New Roman"/>
          <w:color w:val="000000"/>
          <w:szCs w:val="24"/>
        </w:rPr>
        <w:t xml:space="preserve">insert provisions </w:t>
      </w:r>
      <w:r w:rsidR="002A764E" w:rsidRPr="00924A62">
        <w:rPr>
          <w:rFonts w:eastAsia="Times New Roman"/>
          <w:color w:val="000000"/>
          <w:szCs w:val="24"/>
        </w:rPr>
        <w:t>requir</w:t>
      </w:r>
      <w:r w:rsidR="002A764E">
        <w:rPr>
          <w:rFonts w:eastAsia="Times New Roman"/>
          <w:color w:val="000000"/>
          <w:szCs w:val="24"/>
        </w:rPr>
        <w:t>ing</w:t>
      </w:r>
      <w:r w:rsidR="002A764E" w:rsidRPr="00924A62">
        <w:rPr>
          <w:rFonts w:eastAsia="Times New Roman"/>
          <w:color w:val="000000"/>
          <w:szCs w:val="24"/>
        </w:rPr>
        <w:t xml:space="preserve"> </w:t>
      </w:r>
      <w:r w:rsidR="00924A62" w:rsidRPr="00924A62">
        <w:rPr>
          <w:rFonts w:eastAsia="Times New Roman"/>
          <w:color w:val="000000"/>
          <w:szCs w:val="24"/>
        </w:rPr>
        <w:t xml:space="preserve">pharmaceutical companies benefitting from the funding to </w:t>
      </w:r>
      <w:r w:rsidR="001D7AC4">
        <w:rPr>
          <w:rFonts w:eastAsia="Times New Roman"/>
          <w:color w:val="000000"/>
          <w:szCs w:val="24"/>
        </w:rPr>
        <w:t>produce</w:t>
      </w:r>
      <w:r w:rsidR="001D7AC4" w:rsidRPr="00924A62">
        <w:rPr>
          <w:rFonts w:eastAsia="Times New Roman"/>
          <w:color w:val="000000"/>
          <w:szCs w:val="24"/>
        </w:rPr>
        <w:t xml:space="preserve"> </w:t>
      </w:r>
      <w:r w:rsidR="00924A62" w:rsidRPr="00924A62">
        <w:rPr>
          <w:rFonts w:eastAsia="Times New Roman"/>
          <w:color w:val="000000"/>
          <w:szCs w:val="24"/>
        </w:rPr>
        <w:t>any subsequently</w:t>
      </w:r>
      <w:r w:rsidR="00D37653">
        <w:rPr>
          <w:rFonts w:eastAsia="Times New Roman"/>
          <w:color w:val="000000"/>
          <w:szCs w:val="24"/>
        </w:rPr>
        <w:t xml:space="preserve"> </w:t>
      </w:r>
      <w:r w:rsidR="00924A62" w:rsidRPr="00924A62">
        <w:rPr>
          <w:rFonts w:eastAsia="Times New Roman"/>
          <w:color w:val="000000"/>
          <w:szCs w:val="24"/>
        </w:rPr>
        <w:t>developed drug in sufficient quantity to meet public health needs. The funding contract could provide a</w:t>
      </w:r>
      <w:r w:rsidR="00CD555F">
        <w:rPr>
          <w:rFonts w:eastAsia="Times New Roman"/>
          <w:color w:val="000000"/>
          <w:szCs w:val="24"/>
        </w:rPr>
        <w:t>n initial</w:t>
      </w:r>
      <w:r w:rsidR="00924A62" w:rsidRPr="00924A62">
        <w:rPr>
          <w:rFonts w:eastAsia="Times New Roman"/>
          <w:color w:val="000000"/>
          <w:szCs w:val="24"/>
        </w:rPr>
        <w:t xml:space="preserve"> grace period to allow </w:t>
      </w:r>
      <w:r w:rsidR="00CD555F">
        <w:rPr>
          <w:rFonts w:eastAsia="Times New Roman"/>
          <w:color w:val="000000"/>
          <w:szCs w:val="24"/>
        </w:rPr>
        <w:t>the company</w:t>
      </w:r>
      <w:r w:rsidR="00CD555F" w:rsidRPr="00924A62">
        <w:rPr>
          <w:rFonts w:eastAsia="Times New Roman"/>
          <w:color w:val="000000"/>
          <w:szCs w:val="24"/>
        </w:rPr>
        <w:t xml:space="preserve"> </w:t>
      </w:r>
      <w:r w:rsidR="00924A62" w:rsidRPr="00924A62">
        <w:rPr>
          <w:rFonts w:eastAsia="Times New Roman"/>
          <w:color w:val="000000"/>
          <w:szCs w:val="24"/>
        </w:rPr>
        <w:t xml:space="preserve">time to secure raw materials and scale up </w:t>
      </w:r>
      <w:r w:rsidR="00CD555F">
        <w:rPr>
          <w:rFonts w:eastAsia="Times New Roman"/>
          <w:color w:val="000000"/>
          <w:szCs w:val="24"/>
        </w:rPr>
        <w:t xml:space="preserve">drug </w:t>
      </w:r>
      <w:r w:rsidR="00924A62" w:rsidRPr="00924A62">
        <w:rPr>
          <w:rFonts w:eastAsia="Times New Roman"/>
          <w:color w:val="000000"/>
          <w:szCs w:val="24"/>
        </w:rPr>
        <w:t>production</w:t>
      </w:r>
      <w:r w:rsidR="00556D92">
        <w:rPr>
          <w:rFonts w:eastAsia="Times New Roman"/>
          <w:color w:val="000000"/>
          <w:szCs w:val="24"/>
        </w:rPr>
        <w:t>.</w:t>
      </w:r>
      <w:r w:rsidR="009935B2">
        <w:rPr>
          <w:rFonts w:eastAsia="Times New Roman"/>
          <w:color w:val="000000"/>
          <w:szCs w:val="24"/>
        </w:rPr>
        <w:t xml:space="preserve"> </w:t>
      </w:r>
      <w:r w:rsidR="00556D92">
        <w:rPr>
          <w:rFonts w:eastAsia="Times New Roman"/>
          <w:color w:val="000000"/>
          <w:szCs w:val="24"/>
        </w:rPr>
        <w:t>A</w:t>
      </w:r>
      <w:r w:rsidR="009935B2">
        <w:rPr>
          <w:rFonts w:eastAsia="Times New Roman"/>
          <w:color w:val="000000"/>
          <w:szCs w:val="24"/>
        </w:rPr>
        <w:t>lternatively, the contract may</w:t>
      </w:r>
      <w:r w:rsidR="009935B2" w:rsidRPr="005072FF">
        <w:rPr>
          <w:rFonts w:eastAsia="Times New Roman"/>
          <w:color w:val="000000"/>
          <w:szCs w:val="24"/>
        </w:rPr>
        <w:t xml:space="preserve"> </w:t>
      </w:r>
      <w:r w:rsidR="009935B2">
        <w:rPr>
          <w:rFonts w:eastAsia="Times New Roman"/>
          <w:color w:val="000000"/>
          <w:szCs w:val="24"/>
        </w:rPr>
        <w:t>bind</w:t>
      </w:r>
      <w:r w:rsidR="009935B2" w:rsidRPr="005072FF">
        <w:rPr>
          <w:rFonts w:eastAsia="Times New Roman"/>
          <w:color w:val="000000"/>
          <w:szCs w:val="24"/>
        </w:rPr>
        <w:t xml:space="preserve"> the parties</w:t>
      </w:r>
      <w:r w:rsidR="009935B2">
        <w:rPr>
          <w:rFonts w:eastAsia="Times New Roman"/>
          <w:color w:val="000000"/>
          <w:szCs w:val="24"/>
        </w:rPr>
        <w:t xml:space="preserve"> to</w:t>
      </w:r>
      <w:r w:rsidR="009935B2" w:rsidRPr="005072FF">
        <w:rPr>
          <w:rFonts w:eastAsia="Times New Roman"/>
          <w:color w:val="000000"/>
          <w:szCs w:val="24"/>
        </w:rPr>
        <w:t xml:space="preserve"> decide what the appropriate grace period might be once a </w:t>
      </w:r>
      <w:r w:rsidR="009935B2">
        <w:rPr>
          <w:rFonts w:eastAsia="Times New Roman"/>
          <w:color w:val="000000"/>
          <w:szCs w:val="24"/>
        </w:rPr>
        <w:t>pandemic or epidemic</w:t>
      </w:r>
      <w:r w:rsidR="009935B2" w:rsidRPr="005072FF">
        <w:rPr>
          <w:rFonts w:eastAsia="Times New Roman"/>
          <w:color w:val="000000"/>
          <w:szCs w:val="24"/>
        </w:rPr>
        <w:t xml:space="preserve"> is declared</w:t>
      </w:r>
      <w:r w:rsidR="006C38A0">
        <w:rPr>
          <w:rFonts w:eastAsia="Times New Roman"/>
          <w:color w:val="000000"/>
          <w:szCs w:val="24"/>
        </w:rPr>
        <w:t>;</w:t>
      </w:r>
      <w:r w:rsidR="009935B2" w:rsidRPr="005072FF">
        <w:rPr>
          <w:rFonts w:eastAsia="Times New Roman"/>
          <w:color w:val="000000"/>
          <w:szCs w:val="24"/>
        </w:rPr>
        <w:t xml:space="preserve"> </w:t>
      </w:r>
      <w:r w:rsidR="006C38A0">
        <w:rPr>
          <w:rFonts w:eastAsia="Times New Roman"/>
          <w:color w:val="000000"/>
          <w:szCs w:val="24"/>
        </w:rPr>
        <w:t>t</w:t>
      </w:r>
      <w:r w:rsidR="009935B2" w:rsidRPr="005072FF">
        <w:rPr>
          <w:rFonts w:eastAsia="Times New Roman"/>
          <w:color w:val="000000"/>
          <w:szCs w:val="24"/>
        </w:rPr>
        <w:t xml:space="preserve">his </w:t>
      </w:r>
      <w:r w:rsidR="006C38A0">
        <w:rPr>
          <w:rFonts w:eastAsia="Times New Roman"/>
          <w:color w:val="000000"/>
          <w:szCs w:val="24"/>
        </w:rPr>
        <w:t xml:space="preserve">approach </w:t>
      </w:r>
      <w:r w:rsidR="009935B2" w:rsidRPr="005072FF">
        <w:rPr>
          <w:rFonts w:eastAsia="Times New Roman"/>
          <w:color w:val="000000"/>
          <w:szCs w:val="24"/>
        </w:rPr>
        <w:t>would cater to the specificities of a given pub</w:t>
      </w:r>
      <w:r w:rsidR="006C38A0">
        <w:rPr>
          <w:rFonts w:eastAsia="Times New Roman"/>
          <w:color w:val="000000"/>
          <w:szCs w:val="24"/>
        </w:rPr>
        <w:t>lic</w:t>
      </w:r>
      <w:r w:rsidR="009935B2" w:rsidRPr="005072FF">
        <w:rPr>
          <w:rFonts w:eastAsia="Times New Roman"/>
          <w:color w:val="000000"/>
          <w:szCs w:val="24"/>
        </w:rPr>
        <w:t xml:space="preserve"> health crisis</w:t>
      </w:r>
      <w:r w:rsidR="00924A62" w:rsidRPr="00924A62">
        <w:rPr>
          <w:rFonts w:eastAsia="Times New Roman"/>
          <w:color w:val="000000"/>
          <w:szCs w:val="24"/>
        </w:rPr>
        <w:t xml:space="preserve">. </w:t>
      </w:r>
      <w:r w:rsidR="002424EA">
        <w:rPr>
          <w:rFonts w:eastAsia="Times New Roman"/>
          <w:color w:val="000000"/>
          <w:szCs w:val="24"/>
        </w:rPr>
        <w:t>If the shortage persists,</w:t>
      </w:r>
      <w:r w:rsidR="00924A62" w:rsidRPr="00924A62">
        <w:rPr>
          <w:rFonts w:eastAsia="Times New Roman"/>
          <w:color w:val="000000"/>
          <w:szCs w:val="24"/>
        </w:rPr>
        <w:t xml:space="preserve"> the company would be required to cooperate with willing third-party manufacturers by licensing out the relevant patents</w:t>
      </w:r>
      <w:r w:rsidR="00D83D4F">
        <w:rPr>
          <w:rFonts w:eastAsia="Times New Roman"/>
          <w:color w:val="000000"/>
          <w:szCs w:val="24"/>
        </w:rPr>
        <w:t xml:space="preserve"> and</w:t>
      </w:r>
      <w:r w:rsidR="00924A62" w:rsidRPr="00924A62">
        <w:rPr>
          <w:rFonts w:eastAsia="Times New Roman"/>
          <w:color w:val="000000"/>
          <w:szCs w:val="24"/>
        </w:rPr>
        <w:t xml:space="preserve"> </w:t>
      </w:r>
      <w:r w:rsidR="000E540D">
        <w:rPr>
          <w:rFonts w:eastAsia="Times New Roman"/>
          <w:color w:val="000000"/>
          <w:szCs w:val="24"/>
        </w:rPr>
        <w:t>by</w:t>
      </w:r>
      <w:r w:rsidR="000E540D" w:rsidRPr="00924A62">
        <w:rPr>
          <w:rFonts w:eastAsia="Times New Roman"/>
          <w:color w:val="000000"/>
          <w:szCs w:val="24"/>
        </w:rPr>
        <w:t xml:space="preserve"> </w:t>
      </w:r>
      <w:r w:rsidR="000E540D">
        <w:rPr>
          <w:rFonts w:eastAsia="Times New Roman"/>
          <w:color w:val="000000"/>
          <w:szCs w:val="24"/>
        </w:rPr>
        <w:t>transferring the</w:t>
      </w:r>
      <w:r w:rsidR="00404C0C">
        <w:rPr>
          <w:rFonts w:eastAsia="Times New Roman"/>
          <w:color w:val="000000"/>
          <w:szCs w:val="24"/>
        </w:rPr>
        <w:t xml:space="preserve"> </w:t>
      </w:r>
      <w:r w:rsidR="00924A62" w:rsidRPr="00924A62">
        <w:rPr>
          <w:rFonts w:eastAsia="Times New Roman"/>
          <w:color w:val="000000"/>
          <w:szCs w:val="24"/>
        </w:rPr>
        <w:t xml:space="preserve">know-how needed to </w:t>
      </w:r>
      <w:r w:rsidR="00CD555F">
        <w:rPr>
          <w:rFonts w:eastAsia="Times New Roman"/>
          <w:color w:val="000000"/>
          <w:szCs w:val="24"/>
        </w:rPr>
        <w:t>manufacture</w:t>
      </w:r>
      <w:r w:rsidR="00CD555F" w:rsidRPr="00924A62">
        <w:rPr>
          <w:rFonts w:eastAsia="Times New Roman"/>
          <w:color w:val="000000"/>
          <w:szCs w:val="24"/>
        </w:rPr>
        <w:t xml:space="preserve"> </w:t>
      </w:r>
      <w:r w:rsidR="00924A62" w:rsidRPr="00924A62">
        <w:rPr>
          <w:rFonts w:eastAsia="Times New Roman"/>
          <w:color w:val="000000"/>
          <w:szCs w:val="24"/>
        </w:rPr>
        <w:t xml:space="preserve">the drug. </w:t>
      </w:r>
    </w:p>
    <w:p w14:paraId="28579F85" w14:textId="773294C8" w:rsidR="00F25B04" w:rsidRDefault="00924A62" w:rsidP="00F25B04">
      <w:pPr>
        <w:pStyle w:val="Body"/>
        <w:rPr>
          <w:rFonts w:eastAsia="Times New Roman"/>
          <w:color w:val="000000"/>
          <w:szCs w:val="24"/>
        </w:rPr>
      </w:pPr>
      <w:r w:rsidRPr="00924A62">
        <w:rPr>
          <w:rFonts w:eastAsia="Times New Roman"/>
          <w:color w:val="000000"/>
          <w:szCs w:val="24"/>
        </w:rPr>
        <w:t xml:space="preserve">The contract would specify a compensatory royalty rate to be paid to the company under such circumstances. The goal would be to set the rate as close to fair-market value as possible, while ensuring that third-party manufacturers will have a sufficient incentive to help produce the needed drugs. By doing this, the company should end up with a higher rate of profits then if the shortage had </w:t>
      </w:r>
      <w:r w:rsidR="00623B41">
        <w:rPr>
          <w:rFonts w:eastAsia="Times New Roman"/>
          <w:color w:val="000000"/>
          <w:szCs w:val="24"/>
        </w:rPr>
        <w:t>continued</w:t>
      </w:r>
      <w:r w:rsidRPr="00924A62">
        <w:rPr>
          <w:rFonts w:eastAsia="Times New Roman"/>
          <w:color w:val="000000"/>
          <w:szCs w:val="24"/>
        </w:rPr>
        <w:t xml:space="preserve">. The funding contract would </w:t>
      </w:r>
      <w:r w:rsidR="005754DA">
        <w:rPr>
          <w:rFonts w:eastAsia="Times New Roman"/>
          <w:color w:val="000000"/>
          <w:szCs w:val="24"/>
        </w:rPr>
        <w:t>further</w:t>
      </w:r>
      <w:r w:rsidR="005754DA" w:rsidRPr="00924A62">
        <w:rPr>
          <w:rFonts w:eastAsia="Times New Roman"/>
          <w:color w:val="000000"/>
          <w:szCs w:val="24"/>
        </w:rPr>
        <w:t xml:space="preserve"> </w:t>
      </w:r>
      <w:r w:rsidRPr="00924A62">
        <w:rPr>
          <w:rFonts w:eastAsia="Times New Roman"/>
          <w:color w:val="000000"/>
          <w:szCs w:val="24"/>
        </w:rPr>
        <w:t>specify significant financial penalties for companies that fail to cooperate and could bar future funding to an uncooperative recipient. </w:t>
      </w:r>
    </w:p>
    <w:p w14:paraId="7E681F75" w14:textId="6F90766C" w:rsidR="00F25B04" w:rsidRDefault="00717776" w:rsidP="00F25B04">
      <w:pPr>
        <w:pStyle w:val="Body"/>
        <w:rPr>
          <w:rFonts w:eastAsia="Times New Roman"/>
          <w:color w:val="000000"/>
          <w:szCs w:val="24"/>
        </w:rPr>
      </w:pPr>
      <w:r>
        <w:rPr>
          <w:rFonts w:eastAsia="Times New Roman"/>
          <w:color w:val="000000"/>
          <w:szCs w:val="24"/>
        </w:rPr>
        <w:lastRenderedPageBreak/>
        <w:t>Second, t</w:t>
      </w:r>
      <w:r w:rsidR="00924A62" w:rsidRPr="00924A62">
        <w:rPr>
          <w:rFonts w:eastAsia="Times New Roman"/>
          <w:color w:val="000000"/>
          <w:szCs w:val="24"/>
        </w:rPr>
        <w:t>he</w:t>
      </w:r>
      <w:r>
        <w:rPr>
          <w:rFonts w:eastAsia="Times New Roman"/>
          <w:color w:val="000000"/>
          <w:szCs w:val="24"/>
        </w:rPr>
        <w:t xml:space="preserve"> funder could require the</w:t>
      </w:r>
      <w:r w:rsidR="00924A62" w:rsidRPr="00924A62">
        <w:rPr>
          <w:rFonts w:eastAsia="Times New Roman"/>
          <w:color w:val="000000"/>
          <w:szCs w:val="24"/>
        </w:rPr>
        <w:t xml:space="preserve"> pharmaceutical company </w:t>
      </w:r>
      <w:r>
        <w:rPr>
          <w:rFonts w:eastAsia="Times New Roman"/>
          <w:color w:val="000000"/>
          <w:szCs w:val="24"/>
        </w:rPr>
        <w:t>to</w:t>
      </w:r>
      <w:r w:rsidR="00924A62" w:rsidRPr="00924A62">
        <w:rPr>
          <w:rFonts w:eastAsia="Times New Roman"/>
          <w:color w:val="000000"/>
          <w:szCs w:val="24"/>
        </w:rPr>
        <w:t xml:space="preserve"> promise that </w:t>
      </w:r>
      <w:r>
        <w:rPr>
          <w:rFonts w:eastAsia="Times New Roman"/>
          <w:color w:val="000000"/>
          <w:szCs w:val="24"/>
        </w:rPr>
        <w:t>any resulting</w:t>
      </w:r>
      <w:r w:rsidRPr="00924A62">
        <w:rPr>
          <w:rFonts w:eastAsia="Times New Roman"/>
          <w:color w:val="000000"/>
          <w:szCs w:val="24"/>
        </w:rPr>
        <w:t xml:space="preserve"> </w:t>
      </w:r>
      <w:r w:rsidR="00924A62" w:rsidRPr="00924A62">
        <w:rPr>
          <w:rFonts w:eastAsia="Times New Roman"/>
          <w:color w:val="000000"/>
          <w:szCs w:val="24"/>
        </w:rPr>
        <w:t>drug be priced fairly for low-income countries and be made available</w:t>
      </w:r>
      <w:r w:rsidR="00B04379">
        <w:rPr>
          <w:rFonts w:eastAsia="Times New Roman"/>
          <w:color w:val="000000"/>
          <w:szCs w:val="24"/>
        </w:rPr>
        <w:t xml:space="preserve"> to them</w:t>
      </w:r>
      <w:r w:rsidR="00924A62" w:rsidRPr="00924A62">
        <w:rPr>
          <w:rFonts w:eastAsia="Times New Roman"/>
          <w:color w:val="000000"/>
          <w:szCs w:val="24"/>
        </w:rPr>
        <w:t xml:space="preserve"> in a sufficient quantity. </w:t>
      </w:r>
      <w:r w:rsidR="00AD11CF">
        <w:rPr>
          <w:rFonts w:eastAsia="Times New Roman"/>
          <w:color w:val="000000"/>
          <w:szCs w:val="24"/>
        </w:rPr>
        <w:t>As discussed earlier</w:t>
      </w:r>
      <w:r w:rsidR="00924A62" w:rsidRPr="00924A62">
        <w:rPr>
          <w:rFonts w:eastAsia="Times New Roman"/>
          <w:color w:val="000000"/>
          <w:szCs w:val="24"/>
        </w:rPr>
        <w:t xml:space="preserve">, bidding wars have put needed drugs out of reach for </w:t>
      </w:r>
      <w:r w:rsidR="0035141D">
        <w:rPr>
          <w:rFonts w:eastAsia="Times New Roman"/>
          <w:color w:val="000000"/>
          <w:szCs w:val="24"/>
        </w:rPr>
        <w:t>much of the Global South during pandemics and epidemics</w:t>
      </w:r>
      <w:r w:rsidR="00924A62" w:rsidRPr="00924A62">
        <w:rPr>
          <w:rFonts w:eastAsia="Times New Roman"/>
          <w:color w:val="000000"/>
          <w:szCs w:val="24"/>
        </w:rPr>
        <w:t xml:space="preserve">. </w:t>
      </w:r>
      <w:r w:rsidR="00441A44">
        <w:rPr>
          <w:rFonts w:eastAsia="Times New Roman"/>
          <w:color w:val="000000"/>
          <w:szCs w:val="24"/>
        </w:rPr>
        <w:t>What assistance</w:t>
      </w:r>
      <w:r w:rsidR="00441A44" w:rsidRPr="00924A62">
        <w:rPr>
          <w:rFonts w:eastAsia="Times New Roman"/>
          <w:color w:val="000000"/>
          <w:szCs w:val="24"/>
        </w:rPr>
        <w:t xml:space="preserve"> </w:t>
      </w:r>
      <w:r w:rsidR="00924A62" w:rsidRPr="00924A62">
        <w:rPr>
          <w:rFonts w:eastAsia="Times New Roman"/>
          <w:color w:val="000000"/>
          <w:szCs w:val="24"/>
        </w:rPr>
        <w:t xml:space="preserve">high-income governments </w:t>
      </w:r>
      <w:r w:rsidR="00441A44">
        <w:rPr>
          <w:rFonts w:eastAsia="Times New Roman"/>
          <w:color w:val="000000"/>
          <w:szCs w:val="24"/>
        </w:rPr>
        <w:t>provide</w:t>
      </w:r>
      <w:r w:rsidR="00924A62" w:rsidRPr="00924A62">
        <w:rPr>
          <w:rFonts w:eastAsia="Times New Roman"/>
          <w:color w:val="000000"/>
          <w:szCs w:val="24"/>
        </w:rPr>
        <w:t xml:space="preserve"> </w:t>
      </w:r>
      <w:r w:rsidR="00441A44">
        <w:rPr>
          <w:rFonts w:eastAsia="Times New Roman"/>
          <w:color w:val="000000"/>
          <w:szCs w:val="24"/>
        </w:rPr>
        <w:t xml:space="preserve">typically </w:t>
      </w:r>
      <w:r w:rsidR="00924A62" w:rsidRPr="00924A62">
        <w:rPr>
          <w:rFonts w:eastAsia="Times New Roman"/>
          <w:color w:val="000000"/>
          <w:szCs w:val="24"/>
        </w:rPr>
        <w:t xml:space="preserve">comes in the form of </w:t>
      </w:r>
      <w:r w:rsidR="001E5432">
        <w:rPr>
          <w:rFonts w:eastAsia="Times New Roman"/>
          <w:color w:val="000000"/>
          <w:szCs w:val="24"/>
        </w:rPr>
        <w:t xml:space="preserve">donating excess </w:t>
      </w:r>
      <w:r w:rsidR="00924A62" w:rsidRPr="00924A62">
        <w:rPr>
          <w:rFonts w:eastAsia="Times New Roman"/>
          <w:color w:val="000000"/>
          <w:szCs w:val="24"/>
        </w:rPr>
        <w:t>drugs.</w:t>
      </w:r>
      <w:r w:rsidR="009504D9">
        <w:rPr>
          <w:rStyle w:val="FootnoteReference"/>
          <w:rFonts w:eastAsia="Times New Roman"/>
          <w:color w:val="000000"/>
          <w:szCs w:val="24"/>
        </w:rPr>
        <w:footnoteReference w:id="31"/>
      </w:r>
      <w:r w:rsidR="00924A62" w:rsidRPr="00924A62">
        <w:rPr>
          <w:rFonts w:eastAsia="Times New Roman"/>
          <w:color w:val="000000"/>
          <w:szCs w:val="24"/>
        </w:rPr>
        <w:t xml:space="preserve"> It would be far more efficient for funders to secure low-cost drug access from pharmaceutical companies when </w:t>
      </w:r>
      <w:r w:rsidR="001D4FCC">
        <w:rPr>
          <w:rFonts w:eastAsia="Times New Roman"/>
          <w:color w:val="000000"/>
          <w:szCs w:val="24"/>
        </w:rPr>
        <w:t>the underlying R&amp;D</w:t>
      </w:r>
      <w:r w:rsidR="00924A62" w:rsidRPr="00924A62">
        <w:rPr>
          <w:rFonts w:eastAsia="Times New Roman"/>
          <w:color w:val="000000"/>
          <w:szCs w:val="24"/>
        </w:rPr>
        <w:t xml:space="preserve"> is funded</w:t>
      </w:r>
      <w:r w:rsidR="001D4FCC">
        <w:rPr>
          <w:rFonts w:eastAsia="Times New Roman"/>
          <w:color w:val="000000"/>
          <w:szCs w:val="24"/>
        </w:rPr>
        <w:t xml:space="preserve"> and require companies </w:t>
      </w:r>
      <w:r w:rsidR="00924A62" w:rsidRPr="00924A62">
        <w:rPr>
          <w:rFonts w:eastAsia="Times New Roman"/>
          <w:color w:val="000000"/>
          <w:szCs w:val="24"/>
        </w:rPr>
        <w:t xml:space="preserve">to work with generic drug manufacturers in low-income countries to ensure </w:t>
      </w:r>
      <w:r w:rsidR="00DE37F2">
        <w:rPr>
          <w:rFonts w:eastAsia="Times New Roman"/>
          <w:color w:val="000000"/>
          <w:szCs w:val="24"/>
        </w:rPr>
        <w:t xml:space="preserve">an </w:t>
      </w:r>
      <w:r w:rsidR="00924A62" w:rsidRPr="00924A62">
        <w:rPr>
          <w:rFonts w:eastAsia="Times New Roman"/>
          <w:color w:val="000000"/>
          <w:szCs w:val="24"/>
        </w:rPr>
        <w:t>adequate suppl</w:t>
      </w:r>
      <w:r w:rsidR="00DE37F2">
        <w:rPr>
          <w:rFonts w:eastAsia="Times New Roman"/>
          <w:color w:val="000000"/>
          <w:szCs w:val="24"/>
        </w:rPr>
        <w:t>y</w:t>
      </w:r>
      <w:r w:rsidR="00924A62" w:rsidRPr="00924A62">
        <w:rPr>
          <w:rFonts w:eastAsia="Times New Roman"/>
          <w:color w:val="000000"/>
          <w:szCs w:val="24"/>
        </w:rPr>
        <w:t>. </w:t>
      </w:r>
    </w:p>
    <w:p w14:paraId="22827AF6" w14:textId="19112954" w:rsidR="00F25B04" w:rsidRDefault="00924A62" w:rsidP="00F25B04">
      <w:pPr>
        <w:pStyle w:val="Body"/>
        <w:rPr>
          <w:rFonts w:eastAsia="Times New Roman"/>
          <w:color w:val="000000"/>
          <w:szCs w:val="24"/>
        </w:rPr>
      </w:pPr>
      <w:r w:rsidRPr="00924A62">
        <w:rPr>
          <w:rFonts w:eastAsia="Times New Roman"/>
          <w:color w:val="000000"/>
          <w:szCs w:val="24"/>
        </w:rPr>
        <w:t xml:space="preserve">Some pharmaceutical companies already utilize licensing agreements to benefit low-income countries. For example, the United Nations-backed Medicines Patent Pool (MPP) negotiated a voluntary license with Pfizer for its oral COVID-19 drug </w:t>
      </w:r>
      <w:proofErr w:type="spellStart"/>
      <w:r w:rsidRPr="00924A62">
        <w:rPr>
          <w:rFonts w:eastAsia="Times New Roman"/>
          <w:color w:val="000000"/>
          <w:szCs w:val="24"/>
        </w:rPr>
        <w:t>Paxlovid</w:t>
      </w:r>
      <w:proofErr w:type="spellEnd"/>
      <w:r w:rsidRPr="00924A62">
        <w:rPr>
          <w:rFonts w:eastAsia="Times New Roman"/>
          <w:color w:val="000000"/>
          <w:szCs w:val="24"/>
        </w:rPr>
        <w:t>. This allowed MPP to sublicense the drug to thirty-five manufacturers for the benefit of ninety-five lower-income countries royalty-free during the pandemic, and with a five to ten percent royalty for middle-income countries once the pandemic ends.</w:t>
      </w:r>
      <w:r w:rsidR="006B30CC">
        <w:rPr>
          <w:rStyle w:val="FootnoteReference"/>
          <w:rFonts w:eastAsia="Times New Roman"/>
          <w:color w:val="000000"/>
          <w:szCs w:val="24"/>
        </w:rPr>
        <w:footnoteReference w:id="32"/>
      </w:r>
      <w:r w:rsidRPr="00924A62">
        <w:rPr>
          <w:rFonts w:eastAsia="Times New Roman"/>
          <w:color w:val="000000"/>
          <w:szCs w:val="24"/>
        </w:rPr>
        <w:t xml:space="preserve"> However, not all companies are willing to participate in such programs</w:t>
      </w:r>
      <w:r w:rsidR="009156A7">
        <w:rPr>
          <w:rFonts w:eastAsia="Times New Roman"/>
          <w:color w:val="000000"/>
          <w:szCs w:val="24"/>
        </w:rPr>
        <w:t>, and some refuse to license out their</w:t>
      </w:r>
      <w:r w:rsidR="00884EFE">
        <w:rPr>
          <w:rFonts w:eastAsia="Times New Roman"/>
          <w:color w:val="000000"/>
          <w:szCs w:val="24"/>
        </w:rPr>
        <w:t xml:space="preserve"> most lucrative</w:t>
      </w:r>
      <w:r w:rsidR="009156A7">
        <w:rPr>
          <w:rFonts w:eastAsia="Times New Roman"/>
          <w:color w:val="000000"/>
          <w:szCs w:val="24"/>
        </w:rPr>
        <w:t xml:space="preserve"> medicines</w:t>
      </w:r>
      <w:r w:rsidRPr="00924A62">
        <w:rPr>
          <w:rFonts w:eastAsia="Times New Roman"/>
          <w:color w:val="000000"/>
          <w:szCs w:val="24"/>
        </w:rPr>
        <w:t xml:space="preserve">. </w:t>
      </w:r>
      <w:r w:rsidR="000B753D">
        <w:rPr>
          <w:rFonts w:eastAsia="Times New Roman"/>
          <w:color w:val="000000"/>
          <w:szCs w:val="24"/>
        </w:rPr>
        <w:t xml:space="preserve">For example, both </w:t>
      </w:r>
      <w:r w:rsidRPr="00924A62">
        <w:rPr>
          <w:rFonts w:eastAsia="Times New Roman"/>
          <w:color w:val="000000"/>
          <w:szCs w:val="24"/>
        </w:rPr>
        <w:t>Moderna</w:t>
      </w:r>
      <w:r w:rsidR="00DD7148">
        <w:rPr>
          <w:rFonts w:eastAsia="Times New Roman"/>
          <w:color w:val="000000"/>
          <w:szCs w:val="24"/>
        </w:rPr>
        <w:t xml:space="preserve"> and Pfizer have </w:t>
      </w:r>
      <w:r w:rsidRPr="00924A62">
        <w:rPr>
          <w:rFonts w:eastAsia="Times New Roman"/>
          <w:color w:val="000000"/>
          <w:szCs w:val="24"/>
        </w:rPr>
        <w:t xml:space="preserve">refused to license out </w:t>
      </w:r>
      <w:r w:rsidR="00165554">
        <w:rPr>
          <w:rFonts w:eastAsia="Times New Roman"/>
          <w:color w:val="000000"/>
          <w:szCs w:val="24"/>
        </w:rPr>
        <w:t xml:space="preserve">their mRNA vaccine </w:t>
      </w:r>
      <w:r w:rsidR="00340F7A">
        <w:rPr>
          <w:rFonts w:eastAsia="Times New Roman"/>
          <w:color w:val="000000"/>
          <w:szCs w:val="24"/>
        </w:rPr>
        <w:t>technology</w:t>
      </w:r>
      <w:r w:rsidRPr="00924A62">
        <w:rPr>
          <w:rFonts w:eastAsia="Times New Roman"/>
          <w:color w:val="000000"/>
          <w:szCs w:val="24"/>
        </w:rPr>
        <w:t xml:space="preserve">, highlighting the need for </w:t>
      </w:r>
      <w:r w:rsidR="00C263B7">
        <w:rPr>
          <w:rFonts w:eastAsia="Times New Roman"/>
          <w:color w:val="000000"/>
          <w:szCs w:val="24"/>
        </w:rPr>
        <w:t xml:space="preserve">more </w:t>
      </w:r>
      <w:r w:rsidRPr="00924A62">
        <w:rPr>
          <w:rFonts w:eastAsia="Times New Roman"/>
          <w:color w:val="000000"/>
          <w:szCs w:val="24"/>
        </w:rPr>
        <w:t xml:space="preserve">formalized </w:t>
      </w:r>
      <w:r w:rsidR="00C263B7">
        <w:rPr>
          <w:rFonts w:eastAsia="Times New Roman"/>
          <w:color w:val="000000"/>
          <w:szCs w:val="24"/>
        </w:rPr>
        <w:t>licensing obligations</w:t>
      </w:r>
      <w:r w:rsidRPr="00924A62">
        <w:rPr>
          <w:rFonts w:eastAsia="Times New Roman"/>
          <w:color w:val="000000"/>
          <w:szCs w:val="24"/>
        </w:rPr>
        <w:t>.</w:t>
      </w:r>
      <w:r w:rsidR="00A7432D">
        <w:rPr>
          <w:rStyle w:val="FootnoteReference"/>
          <w:rFonts w:eastAsia="Times New Roman"/>
          <w:color w:val="000000"/>
          <w:szCs w:val="24"/>
        </w:rPr>
        <w:footnoteReference w:id="33"/>
      </w:r>
    </w:p>
    <w:p w14:paraId="503A7EB5" w14:textId="271048C2" w:rsidR="00F25B04" w:rsidRDefault="00924A62" w:rsidP="00F25B04">
      <w:pPr>
        <w:pStyle w:val="Body"/>
        <w:rPr>
          <w:rFonts w:eastAsia="Times New Roman"/>
          <w:color w:val="000000"/>
          <w:szCs w:val="24"/>
        </w:rPr>
      </w:pPr>
      <w:r w:rsidRPr="00924A62">
        <w:rPr>
          <w:rFonts w:eastAsia="Times New Roman"/>
          <w:color w:val="000000"/>
          <w:szCs w:val="24"/>
        </w:rPr>
        <w:t xml:space="preserve">Anticipating the possibility of </w:t>
      </w:r>
      <w:r w:rsidR="00BF237F">
        <w:rPr>
          <w:rFonts w:eastAsia="Times New Roman"/>
          <w:color w:val="000000"/>
          <w:szCs w:val="24"/>
        </w:rPr>
        <w:t xml:space="preserve">pandemic- and epidemic-driven </w:t>
      </w:r>
      <w:r w:rsidRPr="00924A62">
        <w:rPr>
          <w:rFonts w:eastAsia="Times New Roman"/>
          <w:color w:val="000000"/>
          <w:szCs w:val="24"/>
        </w:rPr>
        <w:t xml:space="preserve">drug shortages in funding contracts would offer several benefits. It would allow for drug production to be rapidly scaled up by decreasing transaction costs for willing third-party manufacturers to produce the drug. When compulsory licensing is used, the third-party producer must waste time replicating the drug and gaining regulatory approval. Under </w:t>
      </w:r>
      <w:r w:rsidR="00E062F8">
        <w:rPr>
          <w:rFonts w:eastAsia="Times New Roman"/>
          <w:color w:val="000000"/>
          <w:szCs w:val="24"/>
        </w:rPr>
        <w:t>our</w:t>
      </w:r>
      <w:r w:rsidR="00E062F8" w:rsidRPr="00924A62">
        <w:rPr>
          <w:rFonts w:eastAsia="Times New Roman"/>
          <w:color w:val="000000"/>
          <w:szCs w:val="24"/>
        </w:rPr>
        <w:t xml:space="preserve"> </w:t>
      </w:r>
      <w:r w:rsidRPr="00924A62">
        <w:rPr>
          <w:rFonts w:eastAsia="Times New Roman"/>
          <w:color w:val="000000"/>
          <w:szCs w:val="24"/>
        </w:rPr>
        <w:t xml:space="preserve">proposal, third-party manufacturers </w:t>
      </w:r>
      <w:r w:rsidR="007B4C5A" w:rsidRPr="00924A62">
        <w:rPr>
          <w:rFonts w:eastAsia="Times New Roman"/>
          <w:color w:val="000000"/>
          <w:szCs w:val="24"/>
        </w:rPr>
        <w:t>w</w:t>
      </w:r>
      <w:r w:rsidR="007B4C5A">
        <w:rPr>
          <w:rFonts w:eastAsia="Times New Roman"/>
          <w:color w:val="000000"/>
          <w:szCs w:val="24"/>
        </w:rPr>
        <w:t>ould</w:t>
      </w:r>
      <w:r w:rsidR="007B4C5A" w:rsidRPr="00924A62">
        <w:rPr>
          <w:rFonts w:eastAsia="Times New Roman"/>
          <w:color w:val="000000"/>
          <w:szCs w:val="24"/>
        </w:rPr>
        <w:t xml:space="preserve"> </w:t>
      </w:r>
      <w:r w:rsidRPr="00924A62">
        <w:rPr>
          <w:rFonts w:eastAsia="Times New Roman"/>
          <w:color w:val="000000"/>
          <w:szCs w:val="24"/>
        </w:rPr>
        <w:t xml:space="preserve">be able to obtain access to proprietary information about the optimal way to produce the drug. </w:t>
      </w:r>
      <w:r w:rsidR="00E062F8">
        <w:rPr>
          <w:rFonts w:eastAsia="Times New Roman"/>
          <w:color w:val="000000"/>
          <w:szCs w:val="24"/>
        </w:rPr>
        <w:t>Furthermore, because the third-party dru</w:t>
      </w:r>
      <w:r w:rsidR="00E10517">
        <w:rPr>
          <w:rFonts w:eastAsia="Times New Roman"/>
          <w:color w:val="000000"/>
          <w:szCs w:val="24"/>
        </w:rPr>
        <w:t>gs</w:t>
      </w:r>
      <w:r w:rsidR="00E062F8">
        <w:rPr>
          <w:rFonts w:eastAsia="Times New Roman"/>
          <w:color w:val="000000"/>
          <w:szCs w:val="24"/>
        </w:rPr>
        <w:t xml:space="preserve"> would be made under license from the original manufacturer, t</w:t>
      </w:r>
      <w:r w:rsidRPr="00924A62">
        <w:rPr>
          <w:rFonts w:eastAsia="Times New Roman"/>
          <w:color w:val="000000"/>
          <w:szCs w:val="24"/>
        </w:rPr>
        <w:t xml:space="preserve">hey </w:t>
      </w:r>
      <w:r w:rsidR="007E6E4B">
        <w:rPr>
          <w:rFonts w:eastAsia="Times New Roman"/>
          <w:color w:val="000000"/>
          <w:szCs w:val="24"/>
        </w:rPr>
        <w:t>may</w:t>
      </w:r>
      <w:r w:rsidR="007E6E4B" w:rsidRPr="00924A62">
        <w:rPr>
          <w:rFonts w:eastAsia="Times New Roman"/>
          <w:color w:val="000000"/>
          <w:szCs w:val="24"/>
        </w:rPr>
        <w:t xml:space="preserve"> </w:t>
      </w:r>
      <w:r w:rsidRPr="00924A62">
        <w:rPr>
          <w:rFonts w:eastAsia="Times New Roman"/>
          <w:color w:val="000000"/>
          <w:szCs w:val="24"/>
        </w:rPr>
        <w:t>not have to go through full regulatory approval for the drugs that they produce</w:t>
      </w:r>
      <w:r w:rsidR="001415B8">
        <w:rPr>
          <w:rFonts w:eastAsia="Times New Roman"/>
          <w:color w:val="000000"/>
          <w:szCs w:val="24"/>
        </w:rPr>
        <w:t>. They would</w:t>
      </w:r>
      <w:r w:rsidR="007E6E4B">
        <w:rPr>
          <w:rFonts w:eastAsia="Times New Roman"/>
          <w:color w:val="000000"/>
          <w:szCs w:val="24"/>
        </w:rPr>
        <w:t xml:space="preserve"> potentially qualify as follow-on drugs (generics or biosimilars) or may, in some cases, be eligible for other shortened review pathways, as was the case with emergency use authorizations for COVID-19 vaccines</w:t>
      </w:r>
      <w:r w:rsidRPr="00924A62">
        <w:rPr>
          <w:rFonts w:eastAsia="Times New Roman"/>
          <w:color w:val="000000"/>
          <w:szCs w:val="24"/>
        </w:rPr>
        <w:t>.</w:t>
      </w:r>
      <w:r w:rsidR="00933576">
        <w:rPr>
          <w:rStyle w:val="FootnoteReference"/>
          <w:rFonts w:eastAsia="Times New Roman"/>
          <w:color w:val="000000"/>
          <w:szCs w:val="24"/>
        </w:rPr>
        <w:footnoteReference w:id="34"/>
      </w:r>
      <w:r w:rsidRPr="00924A62">
        <w:rPr>
          <w:rFonts w:eastAsia="Times New Roman"/>
          <w:color w:val="000000"/>
          <w:szCs w:val="24"/>
        </w:rPr>
        <w:t xml:space="preserve"> The third-party manufacturer </w:t>
      </w:r>
      <w:r w:rsidR="001E5915">
        <w:rPr>
          <w:rFonts w:eastAsia="Times New Roman"/>
          <w:color w:val="000000"/>
          <w:szCs w:val="24"/>
        </w:rPr>
        <w:t>could</w:t>
      </w:r>
      <w:r w:rsidR="00E10517">
        <w:rPr>
          <w:rFonts w:eastAsia="Times New Roman"/>
          <w:color w:val="000000"/>
          <w:szCs w:val="24"/>
        </w:rPr>
        <w:t xml:space="preserve"> also</w:t>
      </w:r>
      <w:r w:rsidR="001E5915">
        <w:rPr>
          <w:rFonts w:eastAsia="Times New Roman"/>
          <w:color w:val="000000"/>
          <w:szCs w:val="24"/>
        </w:rPr>
        <w:t xml:space="preserve"> potentially</w:t>
      </w:r>
      <w:r w:rsidR="001E5915" w:rsidRPr="00924A62">
        <w:rPr>
          <w:rFonts w:eastAsia="Times New Roman"/>
          <w:color w:val="000000"/>
          <w:szCs w:val="24"/>
        </w:rPr>
        <w:t xml:space="preserve"> </w:t>
      </w:r>
      <w:r w:rsidR="001E5915">
        <w:rPr>
          <w:rFonts w:eastAsia="Times New Roman"/>
          <w:color w:val="000000"/>
          <w:szCs w:val="24"/>
        </w:rPr>
        <w:t xml:space="preserve">benefit from the rights </w:t>
      </w:r>
      <w:r w:rsidR="001E5915">
        <w:rPr>
          <w:rFonts w:eastAsia="Times New Roman"/>
          <w:color w:val="000000"/>
          <w:szCs w:val="24"/>
        </w:rPr>
        <w:lastRenderedPageBreak/>
        <w:t>holder’s</w:t>
      </w:r>
      <w:r w:rsidRPr="00924A62">
        <w:rPr>
          <w:rFonts w:eastAsia="Times New Roman"/>
          <w:color w:val="000000"/>
          <w:szCs w:val="24"/>
        </w:rPr>
        <w:t xml:space="preserve"> connections with raw material providers. Furthermore, </w:t>
      </w:r>
      <w:r w:rsidR="00146082">
        <w:rPr>
          <w:rFonts w:eastAsia="Times New Roman"/>
          <w:color w:val="000000"/>
          <w:szCs w:val="24"/>
        </w:rPr>
        <w:t>the funding contract</w:t>
      </w:r>
      <w:r w:rsidR="00146082" w:rsidRPr="00924A62">
        <w:rPr>
          <w:rFonts w:eastAsia="Times New Roman"/>
          <w:color w:val="000000"/>
          <w:szCs w:val="24"/>
        </w:rPr>
        <w:t xml:space="preserve"> </w:t>
      </w:r>
      <w:r w:rsidRPr="00924A62">
        <w:rPr>
          <w:rFonts w:eastAsia="Times New Roman"/>
          <w:color w:val="000000"/>
          <w:szCs w:val="24"/>
        </w:rPr>
        <w:t>would pre-set the compensation rate, so that time-consuming negotiations do not have to take place once a shortage has arisen.</w:t>
      </w:r>
    </w:p>
    <w:p w14:paraId="041F5BFE" w14:textId="1B781E5F" w:rsidR="00924A62" w:rsidRPr="00924A62" w:rsidRDefault="00924A62" w:rsidP="00F25B04">
      <w:pPr>
        <w:pStyle w:val="Body"/>
      </w:pPr>
      <w:r w:rsidRPr="00924A62">
        <w:rPr>
          <w:rFonts w:eastAsia="Times New Roman"/>
          <w:color w:val="000000"/>
          <w:szCs w:val="24"/>
        </w:rPr>
        <w:t xml:space="preserve">Admittedly, there are some limitations to </w:t>
      </w:r>
      <w:r w:rsidR="00451E97">
        <w:rPr>
          <w:rFonts w:eastAsia="Times New Roman"/>
          <w:color w:val="000000"/>
          <w:szCs w:val="24"/>
        </w:rPr>
        <w:t>our</w:t>
      </w:r>
      <w:r w:rsidR="00451E97" w:rsidRPr="00924A62">
        <w:rPr>
          <w:rFonts w:eastAsia="Times New Roman"/>
          <w:color w:val="000000"/>
          <w:szCs w:val="24"/>
        </w:rPr>
        <w:t xml:space="preserve"> </w:t>
      </w:r>
      <w:r w:rsidRPr="00924A62">
        <w:rPr>
          <w:rFonts w:eastAsia="Times New Roman"/>
          <w:color w:val="000000"/>
          <w:szCs w:val="24"/>
        </w:rPr>
        <w:t>proposal. During the COVID-19 pandemic, there were shortages of supplies that licensing would not have been able to mitigate</w:t>
      </w:r>
      <w:r w:rsidR="00F86413">
        <w:rPr>
          <w:rFonts w:eastAsia="Times New Roman"/>
          <w:color w:val="000000"/>
          <w:szCs w:val="24"/>
        </w:rPr>
        <w:t xml:space="preserve">, </w:t>
      </w:r>
      <w:r w:rsidR="00F86413" w:rsidRPr="00924A62">
        <w:rPr>
          <w:rFonts w:eastAsia="Times New Roman"/>
          <w:color w:val="000000"/>
          <w:szCs w:val="24"/>
        </w:rPr>
        <w:t>such as glass</w:t>
      </w:r>
      <w:r w:rsidR="00F86413">
        <w:rPr>
          <w:rFonts w:eastAsia="Times New Roman"/>
          <w:color w:val="000000"/>
          <w:szCs w:val="24"/>
        </w:rPr>
        <w:t xml:space="preserve"> vials to hold vaccine doses</w:t>
      </w:r>
      <w:r w:rsidRPr="00924A62">
        <w:rPr>
          <w:rFonts w:eastAsia="Times New Roman"/>
          <w:color w:val="000000"/>
          <w:szCs w:val="24"/>
        </w:rPr>
        <w:t>.</w:t>
      </w:r>
      <w:r w:rsidR="00C14605">
        <w:rPr>
          <w:rStyle w:val="FootnoteReference"/>
          <w:rFonts w:eastAsia="Times New Roman"/>
          <w:color w:val="000000"/>
          <w:szCs w:val="24"/>
        </w:rPr>
        <w:footnoteReference w:id="35"/>
      </w:r>
      <w:r w:rsidRPr="00924A62">
        <w:rPr>
          <w:rFonts w:eastAsia="Times New Roman"/>
          <w:color w:val="000000"/>
          <w:szCs w:val="24"/>
        </w:rPr>
        <w:t xml:space="preserve"> </w:t>
      </w:r>
      <w:r w:rsidR="00451E97">
        <w:rPr>
          <w:rFonts w:eastAsia="Times New Roman"/>
          <w:color w:val="000000"/>
          <w:szCs w:val="24"/>
        </w:rPr>
        <w:t>Nor</w:t>
      </w:r>
      <w:r w:rsidRPr="00924A62">
        <w:rPr>
          <w:rFonts w:eastAsia="Times New Roman"/>
          <w:color w:val="000000"/>
          <w:szCs w:val="24"/>
        </w:rPr>
        <w:t xml:space="preserve"> will </w:t>
      </w:r>
      <w:r w:rsidR="00451E97">
        <w:rPr>
          <w:rFonts w:eastAsia="Times New Roman"/>
          <w:color w:val="000000"/>
          <w:szCs w:val="24"/>
        </w:rPr>
        <w:t>licensing</w:t>
      </w:r>
      <w:r w:rsidR="00451E97" w:rsidRPr="00924A62">
        <w:rPr>
          <w:rFonts w:eastAsia="Times New Roman"/>
          <w:color w:val="000000"/>
          <w:szCs w:val="24"/>
        </w:rPr>
        <w:t xml:space="preserve"> </w:t>
      </w:r>
      <w:r w:rsidRPr="00924A62">
        <w:rPr>
          <w:rFonts w:eastAsia="Times New Roman"/>
          <w:color w:val="000000"/>
          <w:szCs w:val="24"/>
        </w:rPr>
        <w:t>help if drug manufacturing capacity does not exist. For cutting-edge technology such as mRNA vaccines, a shortage of skilled personnel might</w:t>
      </w:r>
      <w:r w:rsidR="00E4011C">
        <w:rPr>
          <w:rFonts w:eastAsia="Times New Roman"/>
          <w:color w:val="000000"/>
          <w:szCs w:val="24"/>
        </w:rPr>
        <w:t xml:space="preserve"> also</w:t>
      </w:r>
      <w:r w:rsidRPr="00924A62">
        <w:rPr>
          <w:rFonts w:eastAsia="Times New Roman"/>
          <w:color w:val="000000"/>
          <w:szCs w:val="24"/>
        </w:rPr>
        <w:t xml:space="preserve"> exist, and it could take time to train employees at third-party manufacturing facilities to produce highly-novel drugs. Finally, securing these promises in the shadow of a pandemic could lead to funding entities needing to pay more to the recipients and would likely lead to larger pharmaceutical companies declining funding. </w:t>
      </w:r>
    </w:p>
    <w:p w14:paraId="4B20BB07" w14:textId="3B9F69DC" w:rsidR="00924A62" w:rsidRPr="00924A62" w:rsidRDefault="00924A62" w:rsidP="00F25B04">
      <w:pPr>
        <w:pStyle w:val="Heading1"/>
        <w:rPr>
          <w:rFonts w:eastAsia="Times New Roman"/>
        </w:rPr>
      </w:pPr>
      <w:r w:rsidRPr="00924A62">
        <w:rPr>
          <w:rFonts w:eastAsia="Times New Roman"/>
        </w:rPr>
        <w:t>I</w:t>
      </w:r>
      <w:r w:rsidR="00231841">
        <w:rPr>
          <w:rFonts w:eastAsia="Times New Roman"/>
        </w:rPr>
        <w:t>V</w:t>
      </w:r>
      <w:r w:rsidRPr="00924A62">
        <w:rPr>
          <w:rFonts w:eastAsia="Times New Roman"/>
        </w:rPr>
        <w:t>. Dormant Licensing Provisions</w:t>
      </w:r>
    </w:p>
    <w:p w14:paraId="1F50BC28" w14:textId="60B3922F" w:rsidR="00F25B04" w:rsidRDefault="00924A62" w:rsidP="00F25B04">
      <w:pPr>
        <w:pStyle w:val="Body"/>
      </w:pPr>
      <w:r w:rsidRPr="00924A62">
        <w:t xml:space="preserve">A </w:t>
      </w:r>
      <w:r w:rsidR="00D36813">
        <w:t>“</w:t>
      </w:r>
      <w:r w:rsidRPr="00924A62">
        <w:t>dormant license</w:t>
      </w:r>
      <w:r w:rsidR="00D36813">
        <w:t>”</w:t>
      </w:r>
      <w:r w:rsidRPr="00924A62">
        <w:t xml:space="preserve"> </w:t>
      </w:r>
      <w:r w:rsidR="00D36813">
        <w:t>is a</w:t>
      </w:r>
      <w:r w:rsidRPr="00924A62">
        <w:t xml:space="preserve"> set of contractual provisions agreed to by the parties before the occurrence of a specified event</w:t>
      </w:r>
      <w:r w:rsidR="009E1670">
        <w:t>.</w:t>
      </w:r>
      <w:r w:rsidR="002A3F83">
        <w:rPr>
          <w:rStyle w:val="FootnoteReference"/>
        </w:rPr>
        <w:footnoteReference w:id="36"/>
      </w:r>
      <w:r w:rsidRPr="00924A62">
        <w:t xml:space="preserve"> </w:t>
      </w:r>
      <w:r w:rsidR="009E1670">
        <w:t xml:space="preserve">Although the provisions are not active at the time that they are agreed to, they </w:t>
      </w:r>
      <w:r w:rsidRPr="00924A62">
        <w:t xml:space="preserve">come into force if </w:t>
      </w:r>
      <w:r w:rsidR="009E1670">
        <w:t>the</w:t>
      </w:r>
      <w:r w:rsidRPr="00924A62">
        <w:t xml:space="preserve"> event occurs.</w:t>
      </w:r>
      <w:r w:rsidR="002917A1">
        <w:rPr>
          <w:rStyle w:val="FootnoteReference"/>
        </w:rPr>
        <w:footnoteReference w:id="37"/>
      </w:r>
      <w:r w:rsidRPr="00924A62">
        <w:t xml:space="preserve"> </w:t>
      </w:r>
      <w:r w:rsidR="0096487F">
        <w:t>We propose that</w:t>
      </w:r>
      <w:r w:rsidR="00AA689C">
        <w:t xml:space="preserve"> funding entities attach</w:t>
      </w:r>
      <w:r w:rsidRPr="00924A62">
        <w:t xml:space="preserve"> a dormant license </w:t>
      </w:r>
      <w:r w:rsidR="00AA689C">
        <w:t>when funding R&amp;D for</w:t>
      </w:r>
      <w:r w:rsidRPr="00924A62">
        <w:t xml:space="preserve"> </w:t>
      </w:r>
      <w:r w:rsidR="000677FF">
        <w:t>medicines</w:t>
      </w:r>
      <w:r w:rsidRPr="00924A62">
        <w:t xml:space="preserve"> </w:t>
      </w:r>
      <w:r w:rsidR="00A21998">
        <w:t xml:space="preserve">that are </w:t>
      </w:r>
      <w:r w:rsidRPr="00924A62">
        <w:t xml:space="preserve">typically needed to prevent and respond to pandemics and epidemics. </w:t>
      </w:r>
      <w:r w:rsidR="007008C3">
        <w:t>They</w:t>
      </w:r>
      <w:r w:rsidRPr="00924A62">
        <w:t xml:space="preserve"> should </w:t>
      </w:r>
      <w:r w:rsidR="001747B8">
        <w:t xml:space="preserve">condition funding on the </w:t>
      </w:r>
      <w:r w:rsidRPr="00924A62">
        <w:t xml:space="preserve">acceptance of contractual terms designed to promote the affordability and equitable allocation of the </w:t>
      </w:r>
      <w:r w:rsidR="008556A1">
        <w:t>medicines</w:t>
      </w:r>
      <w:r w:rsidR="008556A1" w:rsidRPr="00924A62">
        <w:t xml:space="preserve"> </w:t>
      </w:r>
      <w:r w:rsidRPr="00924A62">
        <w:t xml:space="preserve">covered by the license. </w:t>
      </w:r>
    </w:p>
    <w:p w14:paraId="52E6DBC4" w14:textId="5844DC6A" w:rsidR="00D7218A" w:rsidRDefault="006B67F3" w:rsidP="00F25B04">
      <w:pPr>
        <w:pStyle w:val="Body"/>
        <w:rPr>
          <w:rFonts w:eastAsia="Times New Roman"/>
          <w:color w:val="000000"/>
          <w:szCs w:val="24"/>
        </w:rPr>
      </w:pPr>
      <w:r>
        <w:rPr>
          <w:rFonts w:eastAsia="Times New Roman"/>
          <w:color w:val="000000"/>
          <w:szCs w:val="24"/>
        </w:rPr>
        <w:t xml:space="preserve">We recommend </w:t>
      </w:r>
      <w:r w:rsidR="00924A62" w:rsidRPr="00924A62">
        <w:rPr>
          <w:rFonts w:eastAsia="Times New Roman"/>
          <w:color w:val="000000"/>
          <w:szCs w:val="24"/>
        </w:rPr>
        <w:t>a flexible framework</w:t>
      </w:r>
      <w:r w:rsidR="00780D86">
        <w:rPr>
          <w:rFonts w:eastAsia="Times New Roman"/>
          <w:color w:val="000000"/>
          <w:szCs w:val="24"/>
        </w:rPr>
        <w:t xml:space="preserve"> to identify relevant </w:t>
      </w:r>
      <w:r w:rsidR="008C6B2B">
        <w:rPr>
          <w:rFonts w:eastAsia="Times New Roman"/>
          <w:color w:val="000000"/>
          <w:szCs w:val="24"/>
        </w:rPr>
        <w:t>drugs or vaccines</w:t>
      </w:r>
      <w:r w:rsidR="009552C7">
        <w:rPr>
          <w:rFonts w:eastAsia="Times New Roman"/>
          <w:color w:val="000000"/>
          <w:szCs w:val="24"/>
        </w:rPr>
        <w:t xml:space="preserve">, </w:t>
      </w:r>
      <w:r w:rsidR="008C6B2B">
        <w:rPr>
          <w:rFonts w:eastAsia="Times New Roman"/>
          <w:color w:val="000000"/>
          <w:szCs w:val="24"/>
        </w:rPr>
        <w:t>or components thereof</w:t>
      </w:r>
      <w:r w:rsidR="009552C7">
        <w:rPr>
          <w:rFonts w:eastAsia="Times New Roman"/>
          <w:color w:val="000000"/>
          <w:szCs w:val="24"/>
        </w:rPr>
        <w:t xml:space="preserve">, </w:t>
      </w:r>
      <w:r w:rsidR="00780D86">
        <w:rPr>
          <w:rFonts w:eastAsia="Times New Roman"/>
          <w:color w:val="000000"/>
          <w:szCs w:val="24"/>
        </w:rPr>
        <w:t>that would be subject to the dormant license.</w:t>
      </w:r>
      <w:r w:rsidR="00924A62" w:rsidRPr="00924A62">
        <w:rPr>
          <w:rFonts w:eastAsia="Times New Roman"/>
          <w:color w:val="000000"/>
          <w:szCs w:val="24"/>
        </w:rPr>
        <w:t xml:space="preserve"> </w:t>
      </w:r>
      <w:r w:rsidR="00780D86">
        <w:rPr>
          <w:rFonts w:eastAsia="Times New Roman"/>
          <w:color w:val="000000"/>
          <w:szCs w:val="24"/>
        </w:rPr>
        <w:t xml:space="preserve">This would be </w:t>
      </w:r>
      <w:r w:rsidR="00924A62" w:rsidRPr="00924A62">
        <w:rPr>
          <w:rFonts w:eastAsia="Times New Roman"/>
          <w:color w:val="000000"/>
          <w:szCs w:val="24"/>
        </w:rPr>
        <w:t xml:space="preserve">modeled after the list of emerging pathogens maintained by the </w:t>
      </w:r>
      <w:r w:rsidR="00780D86" w:rsidRPr="00924A62">
        <w:rPr>
          <w:rFonts w:eastAsia="Times New Roman"/>
          <w:color w:val="000000"/>
          <w:szCs w:val="24"/>
        </w:rPr>
        <w:t>W</w:t>
      </w:r>
      <w:r w:rsidR="00780D86">
        <w:rPr>
          <w:rFonts w:eastAsia="Times New Roman"/>
          <w:color w:val="000000"/>
          <w:szCs w:val="24"/>
        </w:rPr>
        <w:t>orld Health Organization</w:t>
      </w:r>
      <w:r w:rsidR="00CE5B99">
        <w:rPr>
          <w:rFonts w:eastAsia="Times New Roman"/>
          <w:color w:val="000000"/>
          <w:szCs w:val="24"/>
        </w:rPr>
        <w:t xml:space="preserve"> (WHO)</w:t>
      </w:r>
      <w:r w:rsidR="00780D86" w:rsidRPr="00924A62">
        <w:rPr>
          <w:rFonts w:eastAsia="Times New Roman"/>
          <w:color w:val="000000"/>
          <w:szCs w:val="24"/>
        </w:rPr>
        <w:t xml:space="preserve"> </w:t>
      </w:r>
      <w:r w:rsidR="00924A62" w:rsidRPr="00924A62">
        <w:rPr>
          <w:rFonts w:eastAsia="Times New Roman"/>
          <w:color w:val="000000"/>
          <w:szCs w:val="24"/>
        </w:rPr>
        <w:t xml:space="preserve">or a similar </w:t>
      </w:r>
      <w:r w:rsidR="005C75C2">
        <w:rPr>
          <w:rFonts w:eastAsia="Times New Roman"/>
          <w:color w:val="000000"/>
          <w:szCs w:val="24"/>
        </w:rPr>
        <w:t>entity</w:t>
      </w:r>
      <w:r w:rsidR="00924A62" w:rsidRPr="00924A62">
        <w:rPr>
          <w:rFonts w:eastAsia="Times New Roman"/>
          <w:color w:val="000000"/>
          <w:szCs w:val="24"/>
        </w:rPr>
        <w:t xml:space="preserve">. Funding entities </w:t>
      </w:r>
      <w:r w:rsidR="00052A94">
        <w:rPr>
          <w:rFonts w:eastAsia="Times New Roman"/>
          <w:color w:val="000000"/>
          <w:szCs w:val="24"/>
        </w:rPr>
        <w:t>w</w:t>
      </w:r>
      <w:r w:rsidR="00924A62" w:rsidRPr="00924A62">
        <w:rPr>
          <w:rFonts w:eastAsia="Times New Roman"/>
          <w:color w:val="000000"/>
          <w:szCs w:val="24"/>
        </w:rPr>
        <w:t>ould</w:t>
      </w:r>
      <w:r w:rsidR="00D53048">
        <w:rPr>
          <w:rFonts w:eastAsia="Times New Roman"/>
          <w:color w:val="000000"/>
          <w:szCs w:val="24"/>
        </w:rPr>
        <w:t xml:space="preserve"> </w:t>
      </w:r>
      <w:r w:rsidR="00924A62" w:rsidRPr="00924A62">
        <w:rPr>
          <w:rFonts w:eastAsia="Times New Roman"/>
          <w:color w:val="000000"/>
          <w:szCs w:val="24"/>
        </w:rPr>
        <w:t>designate certain emerging pathogens or diseases as “priority” targets and</w:t>
      </w:r>
      <w:r w:rsidR="001D164A">
        <w:rPr>
          <w:rFonts w:eastAsia="Times New Roman"/>
          <w:color w:val="000000"/>
          <w:szCs w:val="24"/>
        </w:rPr>
        <w:t xml:space="preserve"> would</w:t>
      </w:r>
      <w:r w:rsidR="00924A62" w:rsidRPr="00924A62">
        <w:rPr>
          <w:rFonts w:eastAsia="Times New Roman"/>
          <w:color w:val="000000"/>
          <w:szCs w:val="24"/>
        </w:rPr>
        <w:t xml:space="preserve"> reserve </w:t>
      </w:r>
      <w:r w:rsidR="001D164A">
        <w:rPr>
          <w:rFonts w:eastAsia="Times New Roman"/>
          <w:color w:val="000000"/>
          <w:szCs w:val="24"/>
        </w:rPr>
        <w:t>some</w:t>
      </w:r>
      <w:r w:rsidR="00924A62" w:rsidRPr="00924A62">
        <w:rPr>
          <w:rFonts w:eastAsia="Times New Roman"/>
          <w:color w:val="000000"/>
          <w:szCs w:val="24"/>
        </w:rPr>
        <w:t xml:space="preserve"> funding </w:t>
      </w:r>
      <w:r w:rsidR="001D164A">
        <w:rPr>
          <w:rFonts w:eastAsia="Times New Roman"/>
          <w:color w:val="000000"/>
          <w:szCs w:val="24"/>
        </w:rPr>
        <w:t>for</w:t>
      </w:r>
      <w:r w:rsidR="00924A62" w:rsidRPr="00924A62">
        <w:rPr>
          <w:rFonts w:eastAsia="Times New Roman"/>
          <w:color w:val="000000"/>
          <w:szCs w:val="24"/>
        </w:rPr>
        <w:t xml:space="preserve"> recipients who agree to the dormant license</w:t>
      </w:r>
      <w:r w:rsidR="001D164A">
        <w:rPr>
          <w:rFonts w:eastAsia="Times New Roman"/>
          <w:color w:val="000000"/>
          <w:szCs w:val="24"/>
        </w:rPr>
        <w:t xml:space="preserve"> terms</w:t>
      </w:r>
      <w:r w:rsidR="00924A62" w:rsidRPr="00924A62">
        <w:rPr>
          <w:rFonts w:eastAsia="Times New Roman"/>
          <w:color w:val="000000"/>
          <w:szCs w:val="24"/>
        </w:rPr>
        <w:t>.</w:t>
      </w:r>
      <w:r w:rsidR="006E6996">
        <w:rPr>
          <w:rStyle w:val="FootnoteReference"/>
          <w:rFonts w:eastAsia="Times New Roman"/>
          <w:color w:val="000000"/>
          <w:szCs w:val="24"/>
        </w:rPr>
        <w:footnoteReference w:id="38"/>
      </w:r>
      <w:r w:rsidR="00924A62" w:rsidRPr="00924A62">
        <w:rPr>
          <w:rFonts w:eastAsia="Times New Roman"/>
          <w:color w:val="000000"/>
          <w:szCs w:val="24"/>
        </w:rPr>
        <w:t xml:space="preserve"> </w:t>
      </w:r>
      <w:r w:rsidR="00B87E69">
        <w:rPr>
          <w:rFonts w:eastAsia="Times New Roman"/>
          <w:color w:val="000000"/>
          <w:szCs w:val="24"/>
        </w:rPr>
        <w:t>Ideally</w:t>
      </w:r>
      <w:r w:rsidR="00924A62" w:rsidRPr="00924A62">
        <w:rPr>
          <w:rFonts w:eastAsia="Times New Roman"/>
          <w:color w:val="000000"/>
          <w:szCs w:val="24"/>
        </w:rPr>
        <w:t xml:space="preserve">, </w:t>
      </w:r>
      <w:r w:rsidR="000D1637">
        <w:rPr>
          <w:rFonts w:eastAsia="Times New Roman"/>
          <w:color w:val="000000"/>
          <w:szCs w:val="24"/>
        </w:rPr>
        <w:t>the funding recipient would also</w:t>
      </w:r>
      <w:r w:rsidR="00924A62" w:rsidRPr="00924A62">
        <w:rPr>
          <w:rFonts w:eastAsia="Times New Roman"/>
          <w:color w:val="000000"/>
          <w:szCs w:val="24"/>
        </w:rPr>
        <w:t xml:space="preserve"> guarantee the affordability and equitable distribution of </w:t>
      </w:r>
      <w:r w:rsidR="000D1637">
        <w:rPr>
          <w:rFonts w:eastAsia="Times New Roman"/>
          <w:color w:val="000000"/>
          <w:szCs w:val="24"/>
        </w:rPr>
        <w:t>any subsequently</w:t>
      </w:r>
      <w:r w:rsidR="00C80683">
        <w:rPr>
          <w:rFonts w:eastAsia="Times New Roman"/>
          <w:color w:val="000000"/>
          <w:szCs w:val="24"/>
        </w:rPr>
        <w:t xml:space="preserve"> </w:t>
      </w:r>
      <w:r w:rsidR="000D1637">
        <w:rPr>
          <w:rFonts w:eastAsia="Times New Roman"/>
          <w:color w:val="000000"/>
          <w:szCs w:val="24"/>
        </w:rPr>
        <w:t>developed</w:t>
      </w:r>
      <w:r w:rsidR="00924A62" w:rsidRPr="00924A62">
        <w:rPr>
          <w:rFonts w:eastAsia="Times New Roman"/>
          <w:color w:val="000000"/>
          <w:szCs w:val="24"/>
        </w:rPr>
        <w:t xml:space="preserve"> </w:t>
      </w:r>
      <w:r w:rsidR="00641DCB">
        <w:rPr>
          <w:rFonts w:eastAsia="Times New Roman"/>
          <w:color w:val="000000"/>
          <w:szCs w:val="24"/>
        </w:rPr>
        <w:t>products</w:t>
      </w:r>
      <w:r w:rsidR="00924A62" w:rsidRPr="00924A62">
        <w:rPr>
          <w:rFonts w:eastAsia="Times New Roman"/>
          <w:color w:val="000000"/>
          <w:szCs w:val="24"/>
        </w:rPr>
        <w:t xml:space="preserve">. </w:t>
      </w:r>
      <w:r w:rsidR="00B87E69">
        <w:rPr>
          <w:rFonts w:eastAsia="Times New Roman"/>
          <w:color w:val="000000"/>
          <w:szCs w:val="24"/>
        </w:rPr>
        <w:t>However,</w:t>
      </w:r>
      <w:r w:rsidR="00924A62" w:rsidRPr="00924A62">
        <w:rPr>
          <w:rFonts w:eastAsia="Times New Roman"/>
          <w:color w:val="000000"/>
          <w:szCs w:val="24"/>
        </w:rPr>
        <w:t xml:space="preserve"> the funding entity </w:t>
      </w:r>
      <w:r w:rsidR="00406966">
        <w:rPr>
          <w:rFonts w:eastAsia="Times New Roman"/>
          <w:color w:val="000000"/>
          <w:szCs w:val="24"/>
        </w:rPr>
        <w:t>may</w:t>
      </w:r>
      <w:r w:rsidR="00406966" w:rsidRPr="00924A62">
        <w:rPr>
          <w:rFonts w:eastAsia="Times New Roman"/>
          <w:color w:val="000000"/>
          <w:szCs w:val="24"/>
        </w:rPr>
        <w:t xml:space="preserve"> </w:t>
      </w:r>
      <w:r w:rsidR="00924A62" w:rsidRPr="00924A62">
        <w:rPr>
          <w:rFonts w:eastAsia="Times New Roman"/>
          <w:color w:val="000000"/>
          <w:szCs w:val="24"/>
        </w:rPr>
        <w:t>make strategic choices about which areas of R&amp;D are best suited for the dormant licensing model</w:t>
      </w:r>
      <w:r w:rsidR="00B87E69">
        <w:rPr>
          <w:rFonts w:eastAsia="Times New Roman"/>
          <w:color w:val="000000"/>
          <w:szCs w:val="24"/>
        </w:rPr>
        <w:t xml:space="preserve"> based on political economy constraints</w:t>
      </w:r>
      <w:r w:rsidR="00924A62" w:rsidRPr="00924A62">
        <w:rPr>
          <w:rFonts w:eastAsia="Times New Roman"/>
          <w:color w:val="000000"/>
          <w:szCs w:val="24"/>
        </w:rPr>
        <w:t xml:space="preserve">. </w:t>
      </w:r>
    </w:p>
    <w:p w14:paraId="5D8E1159" w14:textId="7802E23C" w:rsidR="001B6C32" w:rsidRDefault="007D4AE1" w:rsidP="00F25B04">
      <w:pPr>
        <w:pStyle w:val="Body"/>
        <w:rPr>
          <w:rFonts w:eastAsia="Times New Roman"/>
          <w:color w:val="000000"/>
          <w:szCs w:val="24"/>
        </w:rPr>
      </w:pPr>
      <w:r>
        <w:rPr>
          <w:rFonts w:eastAsia="Times New Roman"/>
          <w:color w:val="000000"/>
          <w:szCs w:val="24"/>
        </w:rPr>
        <w:t xml:space="preserve">Dormant licenses are particularly well-suited </w:t>
      </w:r>
      <w:r w:rsidR="000D218E">
        <w:rPr>
          <w:rFonts w:eastAsia="Times New Roman"/>
          <w:color w:val="000000"/>
          <w:szCs w:val="24"/>
        </w:rPr>
        <w:t xml:space="preserve">in providing </w:t>
      </w:r>
      <w:r w:rsidR="00B762FF">
        <w:rPr>
          <w:rFonts w:eastAsia="Times New Roman"/>
          <w:color w:val="000000"/>
          <w:szCs w:val="24"/>
        </w:rPr>
        <w:t xml:space="preserve">R&amp;D </w:t>
      </w:r>
      <w:r>
        <w:rPr>
          <w:rFonts w:eastAsia="Times New Roman"/>
          <w:color w:val="000000"/>
          <w:szCs w:val="24"/>
        </w:rPr>
        <w:t>funding</w:t>
      </w:r>
      <w:r w:rsidR="000D218E">
        <w:rPr>
          <w:rFonts w:eastAsia="Times New Roman"/>
          <w:color w:val="000000"/>
          <w:szCs w:val="24"/>
        </w:rPr>
        <w:t xml:space="preserve"> relating</w:t>
      </w:r>
      <w:r>
        <w:rPr>
          <w:rFonts w:eastAsia="Times New Roman"/>
          <w:color w:val="000000"/>
          <w:szCs w:val="24"/>
        </w:rPr>
        <w:t xml:space="preserve"> </w:t>
      </w:r>
      <w:r w:rsidR="00641F02">
        <w:rPr>
          <w:rFonts w:eastAsia="Times New Roman"/>
          <w:color w:val="000000"/>
          <w:szCs w:val="24"/>
        </w:rPr>
        <w:t>e</w:t>
      </w:r>
      <w:r w:rsidR="00924A62" w:rsidRPr="00924A62">
        <w:rPr>
          <w:rFonts w:eastAsia="Times New Roman"/>
          <w:color w:val="000000"/>
          <w:szCs w:val="24"/>
        </w:rPr>
        <w:t>merging infectious diseases</w:t>
      </w:r>
      <w:r w:rsidR="000D218E">
        <w:rPr>
          <w:rFonts w:eastAsia="Times New Roman"/>
          <w:color w:val="000000"/>
          <w:szCs w:val="24"/>
        </w:rPr>
        <w:t>.</w:t>
      </w:r>
      <w:r>
        <w:rPr>
          <w:rFonts w:eastAsia="Times New Roman"/>
          <w:color w:val="000000"/>
          <w:szCs w:val="24"/>
        </w:rPr>
        <w:t xml:space="preserve"> </w:t>
      </w:r>
      <w:r w:rsidR="000D218E">
        <w:rPr>
          <w:rFonts w:eastAsia="Times New Roman"/>
          <w:color w:val="000000"/>
          <w:szCs w:val="24"/>
        </w:rPr>
        <w:t xml:space="preserve">Such </w:t>
      </w:r>
      <w:r w:rsidR="00B762FF">
        <w:rPr>
          <w:rFonts w:eastAsia="Times New Roman"/>
          <w:color w:val="000000"/>
          <w:szCs w:val="24"/>
        </w:rPr>
        <w:t>work</w:t>
      </w:r>
      <w:r w:rsidR="000D218E">
        <w:rPr>
          <w:rFonts w:eastAsia="Times New Roman"/>
          <w:color w:val="000000"/>
          <w:szCs w:val="24"/>
        </w:rPr>
        <w:t xml:space="preserve"> has</w:t>
      </w:r>
      <w:r w:rsidR="00924A62" w:rsidRPr="00924A62">
        <w:rPr>
          <w:rFonts w:eastAsia="Times New Roman"/>
          <w:color w:val="000000"/>
          <w:szCs w:val="24"/>
        </w:rPr>
        <w:t xml:space="preserve"> been grossly underfunded</w:t>
      </w:r>
      <w:r w:rsidR="00952D13">
        <w:rPr>
          <w:rFonts w:eastAsia="Times New Roman"/>
          <w:color w:val="000000"/>
          <w:szCs w:val="24"/>
        </w:rPr>
        <w:t xml:space="preserve"> and ha</w:t>
      </w:r>
      <w:r w:rsidR="00B762FF">
        <w:rPr>
          <w:rFonts w:eastAsia="Times New Roman"/>
          <w:color w:val="000000"/>
          <w:szCs w:val="24"/>
        </w:rPr>
        <w:t>s</w:t>
      </w:r>
      <w:r w:rsidR="00924A62" w:rsidRPr="00924A62">
        <w:rPr>
          <w:rFonts w:eastAsia="Times New Roman"/>
          <w:color w:val="000000"/>
          <w:szCs w:val="24"/>
        </w:rPr>
        <w:t xml:space="preserve"> fail</w:t>
      </w:r>
      <w:r w:rsidR="00952D13">
        <w:rPr>
          <w:rFonts w:eastAsia="Times New Roman"/>
          <w:color w:val="000000"/>
          <w:szCs w:val="24"/>
        </w:rPr>
        <w:t>ed</w:t>
      </w:r>
      <w:r w:rsidR="00924A62" w:rsidRPr="00924A62">
        <w:rPr>
          <w:rFonts w:eastAsia="Times New Roman"/>
          <w:color w:val="000000"/>
          <w:szCs w:val="24"/>
        </w:rPr>
        <w:t xml:space="preserve"> to attract </w:t>
      </w:r>
      <w:r w:rsidR="00952D13">
        <w:rPr>
          <w:rFonts w:eastAsia="Times New Roman"/>
          <w:color w:val="000000"/>
          <w:szCs w:val="24"/>
        </w:rPr>
        <w:t>significant</w:t>
      </w:r>
      <w:r w:rsidR="00952D13" w:rsidRPr="00924A62">
        <w:rPr>
          <w:rFonts w:eastAsia="Times New Roman"/>
          <w:color w:val="000000"/>
          <w:szCs w:val="24"/>
        </w:rPr>
        <w:t xml:space="preserve"> </w:t>
      </w:r>
      <w:r w:rsidR="00924A62" w:rsidRPr="00924A62">
        <w:rPr>
          <w:rFonts w:eastAsia="Times New Roman"/>
          <w:color w:val="000000"/>
          <w:szCs w:val="24"/>
        </w:rPr>
        <w:t xml:space="preserve">R&amp;D </w:t>
      </w:r>
      <w:r w:rsidR="00952D13">
        <w:rPr>
          <w:rFonts w:eastAsia="Times New Roman"/>
          <w:color w:val="000000"/>
          <w:szCs w:val="24"/>
        </w:rPr>
        <w:t>funding</w:t>
      </w:r>
      <w:r w:rsidR="00952D13" w:rsidRPr="00924A62">
        <w:rPr>
          <w:rFonts w:eastAsia="Times New Roman"/>
          <w:color w:val="000000"/>
          <w:szCs w:val="24"/>
        </w:rPr>
        <w:t xml:space="preserve"> </w:t>
      </w:r>
      <w:r w:rsidR="00924A62" w:rsidRPr="00924A62">
        <w:rPr>
          <w:rFonts w:eastAsia="Times New Roman"/>
          <w:color w:val="000000"/>
          <w:szCs w:val="24"/>
        </w:rPr>
        <w:t>even</w:t>
      </w:r>
      <w:r w:rsidR="0067502F">
        <w:rPr>
          <w:rFonts w:eastAsia="Times New Roman"/>
          <w:color w:val="000000"/>
          <w:szCs w:val="24"/>
        </w:rPr>
        <w:t xml:space="preserve"> after an outbreak occurs.</w:t>
      </w:r>
      <w:r w:rsidR="00284BEF">
        <w:rPr>
          <w:rStyle w:val="FootnoteReference"/>
          <w:rFonts w:eastAsia="Times New Roman"/>
          <w:color w:val="000000"/>
          <w:szCs w:val="24"/>
        </w:rPr>
        <w:footnoteReference w:id="39"/>
      </w:r>
      <w:r w:rsidR="0067502F">
        <w:rPr>
          <w:rFonts w:eastAsia="Times New Roman"/>
          <w:color w:val="000000"/>
          <w:szCs w:val="24"/>
        </w:rPr>
        <w:t xml:space="preserve"> </w:t>
      </w:r>
      <w:r w:rsidR="00924A62" w:rsidRPr="00924A62">
        <w:rPr>
          <w:rFonts w:eastAsia="Times New Roman"/>
          <w:color w:val="000000"/>
          <w:szCs w:val="24"/>
        </w:rPr>
        <w:t>For this reason, the realm of emerging pathogens of concern as identified by the WHO</w:t>
      </w:r>
      <w:r w:rsidR="0044070E">
        <w:rPr>
          <w:rFonts w:eastAsia="Times New Roman"/>
          <w:color w:val="000000"/>
          <w:szCs w:val="24"/>
        </w:rPr>
        <w:t xml:space="preserve">—or by </w:t>
      </w:r>
      <w:r w:rsidR="009A73E5">
        <w:rPr>
          <w:rFonts w:eastAsia="Times New Roman"/>
          <w:color w:val="000000"/>
          <w:szCs w:val="24"/>
        </w:rPr>
        <w:t>another</w:t>
      </w:r>
      <w:r w:rsidR="0044070E">
        <w:rPr>
          <w:rFonts w:eastAsia="Times New Roman"/>
          <w:color w:val="000000"/>
          <w:szCs w:val="24"/>
        </w:rPr>
        <w:t xml:space="preserve"> public health-oriented institution</w:t>
      </w:r>
      <w:r w:rsidR="0044070E">
        <w:rPr>
          <w:rStyle w:val="FootnoteReference"/>
          <w:rFonts w:eastAsia="Times New Roman"/>
          <w:color w:val="000000"/>
          <w:szCs w:val="24"/>
        </w:rPr>
        <w:footnoteReference w:id="40"/>
      </w:r>
      <w:r w:rsidR="0044070E">
        <w:rPr>
          <w:rFonts w:eastAsia="Times New Roman"/>
          <w:color w:val="000000"/>
          <w:szCs w:val="24"/>
        </w:rPr>
        <w:t>—</w:t>
      </w:r>
      <w:r w:rsidR="00924A62" w:rsidRPr="00924A62">
        <w:rPr>
          <w:rFonts w:eastAsia="Times New Roman"/>
          <w:color w:val="000000"/>
          <w:szCs w:val="24"/>
        </w:rPr>
        <w:t xml:space="preserve"> constitutes a good field for </w:t>
      </w:r>
      <w:r w:rsidR="003D73ED">
        <w:rPr>
          <w:rFonts w:eastAsia="Times New Roman"/>
          <w:color w:val="000000"/>
          <w:szCs w:val="24"/>
        </w:rPr>
        <w:t>our proposal</w:t>
      </w:r>
      <w:r w:rsidR="00924A62" w:rsidRPr="00924A62">
        <w:rPr>
          <w:rFonts w:eastAsia="Times New Roman"/>
          <w:color w:val="000000"/>
          <w:szCs w:val="24"/>
        </w:rPr>
        <w:t xml:space="preserve">: these pathogens are expected to trigger significant </w:t>
      </w:r>
      <w:r w:rsidR="00924A62" w:rsidRPr="00924A62">
        <w:rPr>
          <w:rFonts w:eastAsia="Times New Roman"/>
          <w:color w:val="000000"/>
          <w:szCs w:val="24"/>
        </w:rPr>
        <w:lastRenderedPageBreak/>
        <w:t xml:space="preserve">outbreaks in years to come, yet </w:t>
      </w:r>
      <w:r w:rsidR="00D40E87">
        <w:rPr>
          <w:rFonts w:eastAsia="Times New Roman"/>
          <w:color w:val="000000"/>
          <w:szCs w:val="24"/>
        </w:rPr>
        <w:t xml:space="preserve">have </w:t>
      </w:r>
      <w:r w:rsidR="00254965">
        <w:rPr>
          <w:rFonts w:eastAsia="Times New Roman"/>
          <w:color w:val="000000"/>
          <w:szCs w:val="24"/>
        </w:rPr>
        <w:t>generally</w:t>
      </w:r>
      <w:r w:rsidR="00D40E87">
        <w:rPr>
          <w:rFonts w:eastAsia="Times New Roman"/>
          <w:color w:val="000000"/>
          <w:szCs w:val="24"/>
        </w:rPr>
        <w:t xml:space="preserve"> failed</w:t>
      </w:r>
      <w:r w:rsidR="00924A62" w:rsidRPr="00924A62">
        <w:rPr>
          <w:rFonts w:eastAsia="Times New Roman"/>
          <w:color w:val="000000"/>
          <w:szCs w:val="24"/>
        </w:rPr>
        <w:t xml:space="preserve"> to attract widespread R&amp;D attention from big pharma</w:t>
      </w:r>
      <w:r w:rsidR="00254965">
        <w:rPr>
          <w:rFonts w:eastAsia="Times New Roman"/>
          <w:color w:val="000000"/>
          <w:szCs w:val="24"/>
        </w:rPr>
        <w:t>ceutical companies</w:t>
      </w:r>
      <w:r w:rsidR="00924A62" w:rsidRPr="00924A62">
        <w:rPr>
          <w:rFonts w:eastAsia="Times New Roman"/>
          <w:color w:val="000000"/>
          <w:szCs w:val="24"/>
        </w:rPr>
        <w:t xml:space="preserve"> in the pre-outbreak period</w:t>
      </w:r>
      <w:r w:rsidR="00254965">
        <w:rPr>
          <w:rFonts w:eastAsia="Times New Roman"/>
          <w:color w:val="000000"/>
          <w:szCs w:val="24"/>
        </w:rPr>
        <w:t>.</w:t>
      </w:r>
      <w:r w:rsidR="00924A62" w:rsidRPr="00924A62">
        <w:rPr>
          <w:rFonts w:eastAsia="Times New Roman"/>
          <w:color w:val="000000"/>
          <w:szCs w:val="24"/>
        </w:rPr>
        <w:t xml:space="preserve"> </w:t>
      </w:r>
    </w:p>
    <w:p w14:paraId="351BDA27" w14:textId="33DD8535" w:rsidR="00F25B04" w:rsidRDefault="00D17766" w:rsidP="00F25B04">
      <w:pPr>
        <w:pStyle w:val="Body"/>
        <w:rPr>
          <w:rFonts w:eastAsia="Times New Roman"/>
          <w:color w:val="000000"/>
          <w:szCs w:val="24"/>
        </w:rPr>
      </w:pPr>
      <w:r>
        <w:rPr>
          <w:rFonts w:eastAsia="Times New Roman"/>
          <w:color w:val="000000"/>
          <w:szCs w:val="24"/>
        </w:rPr>
        <w:t>T</w:t>
      </w:r>
      <w:r w:rsidR="00EC7CC4">
        <w:rPr>
          <w:rFonts w:eastAsia="Times New Roman"/>
          <w:color w:val="000000"/>
          <w:szCs w:val="24"/>
        </w:rPr>
        <w:t xml:space="preserve">he funding entity </w:t>
      </w:r>
      <w:r>
        <w:rPr>
          <w:rFonts w:eastAsia="Times New Roman"/>
          <w:color w:val="000000"/>
          <w:szCs w:val="24"/>
        </w:rPr>
        <w:t>may</w:t>
      </w:r>
      <w:r w:rsidR="00EC7CC4">
        <w:rPr>
          <w:rFonts w:eastAsia="Times New Roman"/>
          <w:color w:val="000000"/>
          <w:szCs w:val="24"/>
        </w:rPr>
        <w:t xml:space="preserve"> </w:t>
      </w:r>
      <w:r w:rsidR="002C7612">
        <w:rPr>
          <w:rFonts w:eastAsia="Times New Roman"/>
          <w:color w:val="000000"/>
          <w:szCs w:val="24"/>
        </w:rPr>
        <w:t>tailor the</w:t>
      </w:r>
      <w:r w:rsidR="00083665">
        <w:rPr>
          <w:rFonts w:eastAsia="Times New Roman"/>
          <w:color w:val="000000"/>
          <w:szCs w:val="24"/>
        </w:rPr>
        <w:t xml:space="preserve"> </w:t>
      </w:r>
      <w:r>
        <w:rPr>
          <w:rFonts w:eastAsia="Times New Roman"/>
          <w:color w:val="000000"/>
          <w:szCs w:val="24"/>
        </w:rPr>
        <w:t xml:space="preserve">dormant </w:t>
      </w:r>
      <w:r w:rsidR="00083665">
        <w:rPr>
          <w:rFonts w:eastAsia="Times New Roman"/>
          <w:color w:val="000000"/>
          <w:szCs w:val="24"/>
        </w:rPr>
        <w:t>licensing</w:t>
      </w:r>
      <w:r w:rsidR="00EC7CC4" w:rsidRPr="00924A62">
        <w:rPr>
          <w:rFonts w:eastAsia="Times New Roman"/>
          <w:color w:val="000000"/>
          <w:szCs w:val="24"/>
        </w:rPr>
        <w:t xml:space="preserve"> requirements </w:t>
      </w:r>
      <w:r w:rsidR="002C7612">
        <w:rPr>
          <w:rFonts w:eastAsia="Times New Roman"/>
          <w:color w:val="000000"/>
          <w:szCs w:val="24"/>
        </w:rPr>
        <w:t xml:space="preserve">based on </w:t>
      </w:r>
      <w:r w:rsidR="003522E0">
        <w:rPr>
          <w:rFonts w:eastAsia="Times New Roman"/>
          <w:color w:val="000000"/>
          <w:szCs w:val="24"/>
        </w:rPr>
        <w:t>its priorities</w:t>
      </w:r>
      <w:r w:rsidR="00924A62" w:rsidRPr="00924A62">
        <w:rPr>
          <w:rFonts w:eastAsia="Times New Roman"/>
          <w:color w:val="000000"/>
          <w:szCs w:val="24"/>
        </w:rPr>
        <w:t xml:space="preserve">. </w:t>
      </w:r>
      <w:r w:rsidR="00E42F28">
        <w:rPr>
          <w:rFonts w:eastAsia="Times New Roman"/>
          <w:color w:val="000000"/>
          <w:szCs w:val="24"/>
        </w:rPr>
        <w:t xml:space="preserve">For example, </w:t>
      </w:r>
      <w:r w:rsidR="00DF5D66">
        <w:rPr>
          <w:rFonts w:eastAsia="Times New Roman"/>
          <w:color w:val="000000"/>
          <w:szCs w:val="24"/>
        </w:rPr>
        <w:t xml:space="preserve">a </w:t>
      </w:r>
      <w:r w:rsidR="00E42F28">
        <w:rPr>
          <w:rFonts w:eastAsia="Times New Roman"/>
          <w:color w:val="000000"/>
          <w:szCs w:val="24"/>
        </w:rPr>
        <w:t>f</w:t>
      </w:r>
      <w:r w:rsidR="00924A62" w:rsidRPr="00924A62">
        <w:rPr>
          <w:rFonts w:eastAsia="Times New Roman"/>
          <w:color w:val="000000"/>
          <w:szCs w:val="24"/>
        </w:rPr>
        <w:t xml:space="preserve">unding </w:t>
      </w:r>
      <w:r w:rsidR="00DF5D66">
        <w:rPr>
          <w:rFonts w:eastAsia="Times New Roman"/>
          <w:color w:val="000000"/>
          <w:szCs w:val="24"/>
        </w:rPr>
        <w:t xml:space="preserve">entity supporting vaccine development </w:t>
      </w:r>
      <w:r w:rsidR="00745AC6">
        <w:rPr>
          <w:rFonts w:eastAsia="Times New Roman"/>
          <w:color w:val="000000"/>
          <w:szCs w:val="24"/>
        </w:rPr>
        <w:t xml:space="preserve">might </w:t>
      </w:r>
      <w:r w:rsidR="00DF5D66">
        <w:rPr>
          <w:rFonts w:eastAsia="Times New Roman"/>
          <w:color w:val="000000"/>
          <w:szCs w:val="24"/>
        </w:rPr>
        <w:t xml:space="preserve">require recipients to promise that </w:t>
      </w:r>
      <w:r w:rsidR="00924A62" w:rsidRPr="00924A62">
        <w:rPr>
          <w:rFonts w:eastAsia="Times New Roman"/>
          <w:color w:val="000000"/>
          <w:szCs w:val="24"/>
        </w:rPr>
        <w:t xml:space="preserve">a percentage of </w:t>
      </w:r>
      <w:r w:rsidR="00DF5D66">
        <w:rPr>
          <w:rFonts w:eastAsia="Times New Roman"/>
          <w:color w:val="000000"/>
          <w:szCs w:val="24"/>
        </w:rPr>
        <w:t xml:space="preserve">any </w:t>
      </w:r>
      <w:r w:rsidR="00924A62" w:rsidRPr="00924A62">
        <w:rPr>
          <w:rFonts w:eastAsia="Times New Roman"/>
          <w:color w:val="000000"/>
          <w:szCs w:val="24"/>
        </w:rPr>
        <w:t>vaccine doses</w:t>
      </w:r>
      <w:r w:rsidR="00E730FF">
        <w:rPr>
          <w:rFonts w:eastAsia="Times New Roman"/>
          <w:color w:val="000000"/>
          <w:szCs w:val="24"/>
        </w:rPr>
        <w:t xml:space="preserve"> produced</w:t>
      </w:r>
      <w:r w:rsidR="00924A62" w:rsidRPr="00924A62">
        <w:rPr>
          <w:rFonts w:eastAsia="Times New Roman"/>
          <w:color w:val="000000"/>
          <w:szCs w:val="24"/>
        </w:rPr>
        <w:t xml:space="preserve"> be allocated to an international procurement facility in the event of a relevant outbreak. </w:t>
      </w:r>
      <w:r w:rsidR="00DF5D66">
        <w:rPr>
          <w:rFonts w:eastAsia="Times New Roman"/>
          <w:color w:val="000000"/>
          <w:szCs w:val="24"/>
        </w:rPr>
        <w:t>It</w:t>
      </w:r>
      <w:r w:rsidR="00DF5D66" w:rsidRPr="00924A62">
        <w:rPr>
          <w:rFonts w:eastAsia="Times New Roman"/>
          <w:color w:val="000000"/>
          <w:szCs w:val="24"/>
        </w:rPr>
        <w:t xml:space="preserve"> </w:t>
      </w:r>
      <w:r w:rsidR="00E730FF">
        <w:rPr>
          <w:rFonts w:eastAsia="Times New Roman"/>
          <w:color w:val="000000"/>
          <w:szCs w:val="24"/>
        </w:rPr>
        <w:t>could</w:t>
      </w:r>
      <w:r w:rsidR="00E730FF" w:rsidRPr="00924A62">
        <w:rPr>
          <w:rFonts w:eastAsia="Times New Roman"/>
          <w:color w:val="000000"/>
          <w:szCs w:val="24"/>
        </w:rPr>
        <w:t xml:space="preserve"> </w:t>
      </w:r>
      <w:r w:rsidR="00DF5D66">
        <w:rPr>
          <w:rFonts w:eastAsia="Times New Roman"/>
          <w:color w:val="000000"/>
          <w:szCs w:val="24"/>
        </w:rPr>
        <w:t>choose to impose</w:t>
      </w:r>
      <w:r w:rsidR="00924A62" w:rsidRPr="00924A62">
        <w:rPr>
          <w:rFonts w:eastAsia="Times New Roman"/>
          <w:color w:val="000000"/>
          <w:szCs w:val="24"/>
        </w:rPr>
        <w:t xml:space="preserve"> pricing requirements</w:t>
      </w:r>
      <w:r w:rsidR="007C7062">
        <w:rPr>
          <w:rFonts w:eastAsia="Times New Roman"/>
          <w:color w:val="000000"/>
          <w:szCs w:val="24"/>
        </w:rPr>
        <w:t xml:space="preserve"> by adopting</w:t>
      </w:r>
      <w:r w:rsidR="00924A62" w:rsidRPr="00924A62">
        <w:rPr>
          <w:rFonts w:eastAsia="Times New Roman"/>
          <w:color w:val="000000"/>
          <w:szCs w:val="24"/>
        </w:rPr>
        <w:t xml:space="preserve"> a formula to calculate pricing at the time of commercialization </w:t>
      </w:r>
      <w:r w:rsidR="007C7062">
        <w:rPr>
          <w:rFonts w:eastAsia="Times New Roman"/>
          <w:color w:val="000000"/>
          <w:szCs w:val="24"/>
        </w:rPr>
        <w:t>or impose requirements</w:t>
      </w:r>
      <w:r w:rsidR="00924A62" w:rsidRPr="00924A62">
        <w:rPr>
          <w:rFonts w:eastAsia="Times New Roman"/>
          <w:color w:val="000000"/>
          <w:szCs w:val="24"/>
        </w:rPr>
        <w:t xml:space="preserve"> specific to commercialization in lower-income countries</w:t>
      </w:r>
      <w:r w:rsidR="00EC7CC4">
        <w:rPr>
          <w:rFonts w:eastAsia="Times New Roman"/>
          <w:color w:val="000000"/>
          <w:szCs w:val="24"/>
        </w:rPr>
        <w:t>.</w:t>
      </w:r>
      <w:r w:rsidR="00924A62" w:rsidRPr="00924A62">
        <w:rPr>
          <w:rFonts w:eastAsia="Times New Roman"/>
          <w:color w:val="000000"/>
          <w:szCs w:val="24"/>
        </w:rPr>
        <w:t xml:space="preserve"> </w:t>
      </w:r>
      <w:r w:rsidR="00C75283">
        <w:rPr>
          <w:rFonts w:eastAsia="Times New Roman"/>
          <w:color w:val="000000"/>
          <w:szCs w:val="24"/>
        </w:rPr>
        <w:t>It</w:t>
      </w:r>
      <w:r w:rsidR="00EC7CC4">
        <w:rPr>
          <w:rFonts w:eastAsia="Times New Roman"/>
          <w:color w:val="000000"/>
          <w:szCs w:val="24"/>
        </w:rPr>
        <w:t xml:space="preserve"> could </w:t>
      </w:r>
      <w:r w:rsidR="00924A62" w:rsidRPr="00924A62">
        <w:rPr>
          <w:rFonts w:eastAsia="Times New Roman"/>
          <w:color w:val="000000"/>
          <w:szCs w:val="24"/>
        </w:rPr>
        <w:t>obligat</w:t>
      </w:r>
      <w:r w:rsidR="00EC7CC4">
        <w:rPr>
          <w:rFonts w:eastAsia="Times New Roman"/>
          <w:color w:val="000000"/>
          <w:szCs w:val="24"/>
        </w:rPr>
        <w:t>e recipients</w:t>
      </w:r>
      <w:r w:rsidR="00924A62" w:rsidRPr="00924A62">
        <w:rPr>
          <w:rFonts w:eastAsia="Times New Roman"/>
          <w:color w:val="000000"/>
          <w:szCs w:val="24"/>
        </w:rPr>
        <w:t xml:space="preserve"> to sub-license the technology on a non-exclusive basis</w:t>
      </w:r>
      <w:r w:rsidR="00E730FF">
        <w:rPr>
          <w:rFonts w:eastAsia="Times New Roman"/>
          <w:color w:val="000000"/>
          <w:szCs w:val="24"/>
        </w:rPr>
        <w:t xml:space="preserve"> to alleviate shortages</w:t>
      </w:r>
      <w:r w:rsidR="00EC7CC4">
        <w:rPr>
          <w:rFonts w:eastAsia="Times New Roman"/>
          <w:color w:val="000000"/>
          <w:szCs w:val="24"/>
        </w:rPr>
        <w:t>, or</w:t>
      </w:r>
      <w:r w:rsidR="00924A62" w:rsidRPr="00924A62">
        <w:rPr>
          <w:rFonts w:eastAsia="Times New Roman"/>
          <w:color w:val="000000"/>
          <w:szCs w:val="24"/>
        </w:rPr>
        <w:t xml:space="preserve"> </w:t>
      </w:r>
      <w:r w:rsidR="00EC7CC4">
        <w:rPr>
          <w:rFonts w:eastAsia="Times New Roman"/>
          <w:color w:val="000000"/>
          <w:szCs w:val="24"/>
        </w:rPr>
        <w:t>require them</w:t>
      </w:r>
      <w:r w:rsidR="00EC7CC4" w:rsidRPr="00924A62">
        <w:rPr>
          <w:rFonts w:eastAsia="Times New Roman"/>
          <w:color w:val="000000"/>
          <w:szCs w:val="24"/>
        </w:rPr>
        <w:t xml:space="preserve"> </w:t>
      </w:r>
      <w:r w:rsidR="00924A62" w:rsidRPr="00924A62">
        <w:rPr>
          <w:rFonts w:eastAsia="Times New Roman"/>
          <w:color w:val="000000"/>
          <w:szCs w:val="24"/>
        </w:rPr>
        <w:t xml:space="preserve">to sub-license to preferred or pre-determined partners. </w:t>
      </w:r>
      <w:r w:rsidR="00EB140B">
        <w:rPr>
          <w:rFonts w:eastAsia="Times New Roman"/>
          <w:color w:val="000000"/>
          <w:szCs w:val="24"/>
        </w:rPr>
        <w:t xml:space="preserve">Overall, </w:t>
      </w:r>
      <w:r w:rsidR="001C60CD">
        <w:rPr>
          <w:rFonts w:eastAsia="Times New Roman"/>
          <w:color w:val="000000"/>
          <w:szCs w:val="24"/>
        </w:rPr>
        <w:t>the</w:t>
      </w:r>
      <w:r w:rsidR="00EB140B">
        <w:rPr>
          <w:rFonts w:eastAsia="Times New Roman"/>
          <w:color w:val="000000"/>
          <w:szCs w:val="24"/>
        </w:rPr>
        <w:t xml:space="preserve"> terms</w:t>
      </w:r>
      <w:r w:rsidR="00924A62" w:rsidRPr="00924A62">
        <w:rPr>
          <w:rFonts w:eastAsia="Times New Roman"/>
          <w:color w:val="000000"/>
          <w:szCs w:val="24"/>
        </w:rPr>
        <w:t xml:space="preserve"> can be adapted depending on the specifics of the technology, </w:t>
      </w:r>
      <w:r w:rsidR="00C16AD1">
        <w:rPr>
          <w:rFonts w:eastAsia="Times New Roman"/>
          <w:color w:val="000000"/>
          <w:szCs w:val="24"/>
        </w:rPr>
        <w:t xml:space="preserve">the </w:t>
      </w:r>
      <w:r w:rsidR="00924A62" w:rsidRPr="00924A62">
        <w:rPr>
          <w:rFonts w:eastAsia="Times New Roman"/>
          <w:color w:val="000000"/>
          <w:szCs w:val="24"/>
        </w:rPr>
        <w:t>field of R&amp;D</w:t>
      </w:r>
      <w:r w:rsidR="00FA6501">
        <w:rPr>
          <w:rFonts w:eastAsia="Times New Roman"/>
          <w:color w:val="000000"/>
          <w:szCs w:val="24"/>
        </w:rPr>
        <w:t>,</w:t>
      </w:r>
      <w:r w:rsidR="00924A62" w:rsidRPr="00924A62">
        <w:rPr>
          <w:rFonts w:eastAsia="Times New Roman"/>
          <w:color w:val="000000"/>
          <w:szCs w:val="24"/>
        </w:rPr>
        <w:t xml:space="preserve"> and </w:t>
      </w:r>
      <w:r w:rsidR="00FA6501">
        <w:rPr>
          <w:rFonts w:eastAsia="Times New Roman"/>
          <w:color w:val="000000"/>
          <w:szCs w:val="24"/>
        </w:rPr>
        <w:t xml:space="preserve">the </w:t>
      </w:r>
      <w:r w:rsidR="00924A62" w:rsidRPr="00924A62">
        <w:rPr>
          <w:rFonts w:eastAsia="Times New Roman"/>
          <w:color w:val="000000"/>
          <w:szCs w:val="24"/>
        </w:rPr>
        <w:t>profile of the target funding recipients to maximize both goals of health equity and practical implementation.</w:t>
      </w:r>
    </w:p>
    <w:p w14:paraId="60375BA5" w14:textId="4DF033BB" w:rsidR="00F25B04" w:rsidRDefault="007A1058" w:rsidP="00F25B04">
      <w:pPr>
        <w:pStyle w:val="Body"/>
        <w:rPr>
          <w:rFonts w:eastAsia="Times New Roman"/>
          <w:color w:val="000000"/>
          <w:szCs w:val="24"/>
        </w:rPr>
      </w:pPr>
      <w:r>
        <w:rPr>
          <w:rFonts w:eastAsia="Times New Roman"/>
          <w:color w:val="000000"/>
          <w:szCs w:val="24"/>
        </w:rPr>
        <w:t>To increase certainty for the funding recipient</w:t>
      </w:r>
      <w:r w:rsidR="00A77909">
        <w:rPr>
          <w:rFonts w:eastAsia="Times New Roman"/>
          <w:color w:val="000000"/>
          <w:szCs w:val="24"/>
        </w:rPr>
        <w:t>,</w:t>
      </w:r>
      <w:r>
        <w:rPr>
          <w:rFonts w:eastAsia="Times New Roman"/>
          <w:color w:val="000000"/>
          <w:szCs w:val="24"/>
        </w:rPr>
        <w:t xml:space="preserve"> </w:t>
      </w:r>
      <w:r w:rsidR="00924A62" w:rsidRPr="00924A62">
        <w:rPr>
          <w:rFonts w:eastAsia="Times New Roman"/>
          <w:color w:val="000000"/>
          <w:szCs w:val="24"/>
        </w:rPr>
        <w:t>we suggest that the trigger</w:t>
      </w:r>
      <w:r>
        <w:rPr>
          <w:rFonts w:eastAsia="Times New Roman"/>
          <w:color w:val="000000"/>
          <w:szCs w:val="24"/>
        </w:rPr>
        <w:t xml:space="preserve"> for the dorm</w:t>
      </w:r>
      <w:r w:rsidR="00EC78B3">
        <w:rPr>
          <w:rFonts w:eastAsia="Times New Roman"/>
          <w:color w:val="000000"/>
          <w:szCs w:val="24"/>
        </w:rPr>
        <w:t>a</w:t>
      </w:r>
      <w:r>
        <w:rPr>
          <w:rFonts w:eastAsia="Times New Roman"/>
          <w:color w:val="000000"/>
          <w:szCs w:val="24"/>
        </w:rPr>
        <w:t>nt license</w:t>
      </w:r>
      <w:r w:rsidR="00924A62" w:rsidRPr="00924A62">
        <w:rPr>
          <w:rFonts w:eastAsia="Times New Roman"/>
          <w:color w:val="000000"/>
          <w:szCs w:val="24"/>
        </w:rPr>
        <w:t xml:space="preserve"> be</w:t>
      </w:r>
      <w:r w:rsidR="00740E8C">
        <w:rPr>
          <w:rFonts w:eastAsia="Times New Roman"/>
          <w:color w:val="000000"/>
          <w:szCs w:val="24"/>
        </w:rPr>
        <w:t xml:space="preserve"> a</w:t>
      </w:r>
      <w:r w:rsidR="00924A62" w:rsidRPr="00924A62">
        <w:rPr>
          <w:rFonts w:eastAsia="Times New Roman"/>
          <w:color w:val="000000"/>
          <w:szCs w:val="24"/>
        </w:rPr>
        <w:t xml:space="preserve"> formal declaration of an epidemic or pandemic by an agreed-upon international or domestic public health institution. </w:t>
      </w:r>
      <w:r w:rsidR="0038688E">
        <w:rPr>
          <w:rFonts w:eastAsia="Times New Roman"/>
          <w:color w:val="000000"/>
          <w:szCs w:val="24"/>
        </w:rPr>
        <w:t>Although we believe that t</w:t>
      </w:r>
      <w:r w:rsidR="00924A62" w:rsidRPr="00924A62">
        <w:rPr>
          <w:rFonts w:eastAsia="Times New Roman"/>
          <w:color w:val="000000"/>
          <w:szCs w:val="24"/>
        </w:rPr>
        <w:t xml:space="preserve">he WHO is well positioned </w:t>
      </w:r>
      <w:r w:rsidR="00E20A27">
        <w:rPr>
          <w:rFonts w:eastAsia="Times New Roman"/>
          <w:color w:val="000000"/>
          <w:szCs w:val="24"/>
        </w:rPr>
        <w:t xml:space="preserve">serve in this function, </w:t>
      </w:r>
      <w:r w:rsidR="003C08CC">
        <w:rPr>
          <w:rFonts w:eastAsia="Times New Roman"/>
          <w:color w:val="000000"/>
          <w:szCs w:val="24"/>
        </w:rPr>
        <w:t xml:space="preserve">the parties could alternatively choose </w:t>
      </w:r>
      <w:r w:rsidR="00924A62" w:rsidRPr="00924A62">
        <w:rPr>
          <w:rFonts w:eastAsia="Times New Roman"/>
          <w:color w:val="000000"/>
          <w:szCs w:val="24"/>
        </w:rPr>
        <w:t xml:space="preserve">a domestic institution </w:t>
      </w:r>
      <w:r w:rsidR="00E20A27">
        <w:rPr>
          <w:rFonts w:eastAsia="Times New Roman"/>
          <w:color w:val="000000"/>
          <w:szCs w:val="24"/>
        </w:rPr>
        <w:t xml:space="preserve">or some other body </w:t>
      </w:r>
      <w:r w:rsidR="00534D41">
        <w:rPr>
          <w:rFonts w:eastAsia="Times New Roman"/>
          <w:color w:val="000000"/>
          <w:szCs w:val="24"/>
        </w:rPr>
        <w:t xml:space="preserve">to fulfil </w:t>
      </w:r>
      <w:r w:rsidR="0038688E">
        <w:rPr>
          <w:rFonts w:eastAsia="Times New Roman"/>
          <w:color w:val="000000"/>
          <w:szCs w:val="24"/>
        </w:rPr>
        <w:t xml:space="preserve">this </w:t>
      </w:r>
      <w:r w:rsidR="00E20A27">
        <w:rPr>
          <w:rFonts w:eastAsia="Times New Roman"/>
          <w:color w:val="000000"/>
          <w:szCs w:val="24"/>
        </w:rPr>
        <w:t>role</w:t>
      </w:r>
      <w:r w:rsidR="00924A62" w:rsidRPr="00924A62">
        <w:rPr>
          <w:rFonts w:eastAsia="Times New Roman"/>
          <w:color w:val="000000"/>
          <w:szCs w:val="24"/>
        </w:rPr>
        <w:t>. The licens</w:t>
      </w:r>
      <w:r w:rsidR="009676F1">
        <w:rPr>
          <w:rFonts w:eastAsia="Times New Roman"/>
          <w:color w:val="000000"/>
          <w:szCs w:val="24"/>
        </w:rPr>
        <w:t>ing terms</w:t>
      </w:r>
      <w:r w:rsidR="00924A62" w:rsidRPr="00924A62">
        <w:rPr>
          <w:rFonts w:eastAsia="Times New Roman"/>
          <w:color w:val="000000"/>
          <w:szCs w:val="24"/>
        </w:rPr>
        <w:t xml:space="preserve"> would </w:t>
      </w:r>
      <w:r w:rsidR="005F2431">
        <w:rPr>
          <w:rFonts w:eastAsia="Times New Roman"/>
          <w:color w:val="000000"/>
          <w:szCs w:val="24"/>
        </w:rPr>
        <w:t>indicate</w:t>
      </w:r>
      <w:r w:rsidR="00924A62" w:rsidRPr="00924A62">
        <w:rPr>
          <w:rFonts w:eastAsia="Times New Roman"/>
          <w:color w:val="000000"/>
          <w:szCs w:val="24"/>
        </w:rPr>
        <w:t xml:space="preserve"> </w:t>
      </w:r>
      <w:r w:rsidR="00F54F48">
        <w:rPr>
          <w:rFonts w:eastAsia="Times New Roman"/>
          <w:color w:val="000000"/>
          <w:szCs w:val="24"/>
        </w:rPr>
        <w:t xml:space="preserve">whether </w:t>
      </w:r>
      <w:r w:rsidR="00924A62" w:rsidRPr="00924A62">
        <w:rPr>
          <w:rFonts w:eastAsia="Times New Roman"/>
          <w:color w:val="000000"/>
          <w:szCs w:val="24"/>
        </w:rPr>
        <w:t xml:space="preserve">the qualifying event </w:t>
      </w:r>
      <w:r w:rsidR="00F54F48">
        <w:rPr>
          <w:rFonts w:eastAsia="Times New Roman"/>
          <w:color w:val="000000"/>
          <w:szCs w:val="24"/>
        </w:rPr>
        <w:t>is</w:t>
      </w:r>
      <w:r w:rsidR="00924A62" w:rsidRPr="00924A62">
        <w:rPr>
          <w:rFonts w:eastAsia="Times New Roman"/>
          <w:color w:val="000000"/>
          <w:szCs w:val="24"/>
        </w:rPr>
        <w:t xml:space="preserve"> a formal declaration or </w:t>
      </w:r>
      <w:r w:rsidR="00F54F48">
        <w:rPr>
          <w:rFonts w:eastAsia="Times New Roman"/>
          <w:color w:val="000000"/>
          <w:szCs w:val="24"/>
        </w:rPr>
        <w:t>merely</w:t>
      </w:r>
      <w:r w:rsidR="00F54F48" w:rsidRPr="00924A62">
        <w:rPr>
          <w:rFonts w:eastAsia="Times New Roman"/>
          <w:color w:val="000000"/>
          <w:szCs w:val="24"/>
        </w:rPr>
        <w:t xml:space="preserve"> </w:t>
      </w:r>
      <w:r w:rsidR="00924A62" w:rsidRPr="00924A62">
        <w:rPr>
          <w:rFonts w:eastAsia="Times New Roman"/>
          <w:color w:val="000000"/>
          <w:szCs w:val="24"/>
        </w:rPr>
        <w:t xml:space="preserve">a </w:t>
      </w:r>
      <w:r w:rsidR="00534D41">
        <w:rPr>
          <w:rFonts w:eastAsia="Times New Roman"/>
          <w:color w:val="000000"/>
          <w:szCs w:val="24"/>
        </w:rPr>
        <w:t>declaration</w:t>
      </w:r>
      <w:r w:rsidR="00534D41" w:rsidRPr="00924A62">
        <w:rPr>
          <w:rFonts w:eastAsia="Times New Roman"/>
          <w:color w:val="000000"/>
          <w:szCs w:val="24"/>
        </w:rPr>
        <w:t xml:space="preserve"> </w:t>
      </w:r>
      <w:r w:rsidR="00924A62" w:rsidRPr="00924A62">
        <w:rPr>
          <w:rFonts w:eastAsia="Times New Roman"/>
          <w:color w:val="000000"/>
          <w:szCs w:val="24"/>
        </w:rPr>
        <w:t>of concern</w:t>
      </w:r>
      <w:r w:rsidR="00F54F48">
        <w:rPr>
          <w:rFonts w:eastAsia="Times New Roman"/>
          <w:color w:val="000000"/>
          <w:szCs w:val="24"/>
        </w:rPr>
        <w:t>,</w:t>
      </w:r>
      <w:r w:rsidR="00534D41">
        <w:rPr>
          <w:rStyle w:val="FootnoteReference"/>
          <w:rFonts w:eastAsia="Times New Roman"/>
          <w:color w:val="000000"/>
          <w:szCs w:val="24"/>
        </w:rPr>
        <w:footnoteReference w:id="41"/>
      </w:r>
      <w:r w:rsidR="00F54F48">
        <w:rPr>
          <w:rFonts w:eastAsia="Times New Roman"/>
          <w:color w:val="000000"/>
          <w:szCs w:val="24"/>
        </w:rPr>
        <w:t xml:space="preserve"> </w:t>
      </w:r>
      <w:r w:rsidR="00924A62" w:rsidRPr="00924A62">
        <w:rPr>
          <w:rFonts w:eastAsia="Times New Roman"/>
          <w:color w:val="000000"/>
          <w:szCs w:val="24"/>
        </w:rPr>
        <w:t>and</w:t>
      </w:r>
      <w:r w:rsidR="00F54F48">
        <w:rPr>
          <w:rFonts w:eastAsia="Times New Roman"/>
          <w:color w:val="000000"/>
          <w:szCs w:val="24"/>
        </w:rPr>
        <w:t xml:space="preserve"> would identify</w:t>
      </w:r>
      <w:r w:rsidR="00924A62" w:rsidRPr="00924A62">
        <w:rPr>
          <w:rFonts w:eastAsia="Times New Roman"/>
          <w:color w:val="000000"/>
          <w:szCs w:val="24"/>
        </w:rPr>
        <w:t xml:space="preserve"> the institution</w:t>
      </w:r>
      <w:r w:rsidR="00101C48">
        <w:rPr>
          <w:rFonts w:eastAsia="Times New Roman"/>
          <w:color w:val="000000"/>
          <w:szCs w:val="24"/>
        </w:rPr>
        <w:t xml:space="preserve"> or institutions</w:t>
      </w:r>
      <w:r w:rsidR="003E6FC0">
        <w:rPr>
          <w:rFonts w:eastAsia="Times New Roman"/>
          <w:color w:val="000000"/>
          <w:szCs w:val="24"/>
        </w:rPr>
        <w:t xml:space="preserve"> </w:t>
      </w:r>
      <w:r w:rsidR="00924A62" w:rsidRPr="00924A62">
        <w:rPr>
          <w:rFonts w:eastAsia="Times New Roman"/>
          <w:color w:val="000000"/>
          <w:szCs w:val="24"/>
        </w:rPr>
        <w:t xml:space="preserve">producing the qualifying trigger. The </w:t>
      </w:r>
      <w:r w:rsidR="001C60CD">
        <w:rPr>
          <w:rFonts w:eastAsia="Times New Roman"/>
          <w:color w:val="000000"/>
          <w:szCs w:val="24"/>
        </w:rPr>
        <w:t>contract should also specify</w:t>
      </w:r>
      <w:r w:rsidR="00924A62" w:rsidRPr="00924A62">
        <w:rPr>
          <w:rFonts w:eastAsia="Times New Roman"/>
          <w:color w:val="000000"/>
          <w:szCs w:val="24"/>
        </w:rPr>
        <w:t xml:space="preserve"> how to calculate </w:t>
      </w:r>
      <w:r w:rsidR="00673EDE">
        <w:rPr>
          <w:rFonts w:eastAsia="Times New Roman"/>
          <w:color w:val="000000"/>
          <w:szCs w:val="24"/>
        </w:rPr>
        <w:t>the period for which the dorm</w:t>
      </w:r>
      <w:r w:rsidR="00EC78B3">
        <w:rPr>
          <w:rFonts w:eastAsia="Times New Roman"/>
          <w:color w:val="000000"/>
          <w:szCs w:val="24"/>
        </w:rPr>
        <w:t>a</w:t>
      </w:r>
      <w:r w:rsidR="00673EDE">
        <w:rPr>
          <w:rFonts w:eastAsia="Times New Roman"/>
          <w:color w:val="000000"/>
          <w:szCs w:val="24"/>
        </w:rPr>
        <w:t>nt license will remain active</w:t>
      </w:r>
      <w:r w:rsidR="002B16A9">
        <w:rPr>
          <w:rFonts w:eastAsia="Times New Roman"/>
          <w:color w:val="000000"/>
          <w:szCs w:val="24"/>
        </w:rPr>
        <w:t>, such as the</w:t>
      </w:r>
      <w:r w:rsidR="00924A62" w:rsidRPr="00924A62">
        <w:rPr>
          <w:rFonts w:eastAsia="Times New Roman"/>
          <w:color w:val="000000"/>
          <w:szCs w:val="24"/>
        </w:rPr>
        <w:t xml:space="preserve"> number of months counted from a formal declaration that a pandemic or epidemic is over</w:t>
      </w:r>
      <w:r w:rsidR="002B16A9">
        <w:rPr>
          <w:rFonts w:eastAsia="Times New Roman"/>
          <w:color w:val="000000"/>
          <w:szCs w:val="24"/>
        </w:rPr>
        <w:t>.</w:t>
      </w:r>
      <w:r w:rsidR="00924A62" w:rsidRPr="00924A62">
        <w:rPr>
          <w:rFonts w:eastAsia="Times New Roman"/>
          <w:color w:val="000000"/>
          <w:szCs w:val="24"/>
        </w:rPr>
        <w:t xml:space="preserve"> </w:t>
      </w:r>
      <w:r w:rsidR="002B16A9">
        <w:rPr>
          <w:rFonts w:eastAsia="Times New Roman"/>
          <w:color w:val="000000"/>
          <w:szCs w:val="24"/>
        </w:rPr>
        <w:t xml:space="preserve">It should furthermore </w:t>
      </w:r>
      <w:r w:rsidR="000E05F9">
        <w:rPr>
          <w:rFonts w:eastAsia="Times New Roman"/>
          <w:color w:val="000000"/>
          <w:szCs w:val="24"/>
        </w:rPr>
        <w:t xml:space="preserve">address </w:t>
      </w:r>
      <w:r w:rsidR="00924A62" w:rsidRPr="00924A62">
        <w:rPr>
          <w:rFonts w:eastAsia="Times New Roman"/>
          <w:color w:val="000000"/>
          <w:szCs w:val="24"/>
        </w:rPr>
        <w:t xml:space="preserve">whether </w:t>
      </w:r>
      <w:r w:rsidR="00310E87">
        <w:rPr>
          <w:rFonts w:eastAsia="Times New Roman"/>
          <w:color w:val="000000"/>
          <w:szCs w:val="24"/>
        </w:rPr>
        <w:t>the term</w:t>
      </w:r>
      <w:r w:rsidR="00924A62" w:rsidRPr="00924A62">
        <w:rPr>
          <w:rFonts w:eastAsia="Times New Roman"/>
          <w:color w:val="000000"/>
          <w:szCs w:val="24"/>
        </w:rPr>
        <w:t xml:space="preserve"> can be extended if the parties so desire</w:t>
      </w:r>
      <w:r w:rsidR="00310E87">
        <w:rPr>
          <w:rFonts w:eastAsia="Times New Roman"/>
          <w:color w:val="000000"/>
          <w:szCs w:val="24"/>
        </w:rPr>
        <w:t>, and if so, how</w:t>
      </w:r>
      <w:r w:rsidR="00924A62" w:rsidRPr="00924A62">
        <w:rPr>
          <w:rFonts w:eastAsia="Times New Roman"/>
          <w:color w:val="000000"/>
          <w:szCs w:val="24"/>
        </w:rPr>
        <w:t>.</w:t>
      </w:r>
    </w:p>
    <w:p w14:paraId="22A92FAA" w14:textId="083DC60B" w:rsidR="00624141" w:rsidRDefault="00924A62" w:rsidP="00F25B04">
      <w:pPr>
        <w:pStyle w:val="Body"/>
        <w:rPr>
          <w:rFonts w:eastAsia="Times New Roman"/>
          <w:color w:val="000000"/>
          <w:szCs w:val="24"/>
        </w:rPr>
      </w:pPr>
      <w:r w:rsidRPr="00924A62">
        <w:rPr>
          <w:rFonts w:eastAsia="Times New Roman"/>
          <w:color w:val="000000"/>
          <w:szCs w:val="24"/>
        </w:rPr>
        <w:t xml:space="preserve">The approach outlined here offers several advantages over current </w:t>
      </w:r>
      <w:r w:rsidR="00213B0B">
        <w:rPr>
          <w:rFonts w:eastAsia="Times New Roman"/>
          <w:color w:val="000000"/>
          <w:szCs w:val="24"/>
        </w:rPr>
        <w:t xml:space="preserve">licensing </w:t>
      </w:r>
      <w:r w:rsidRPr="00924A62">
        <w:rPr>
          <w:rFonts w:eastAsia="Times New Roman"/>
          <w:color w:val="000000"/>
          <w:szCs w:val="24"/>
        </w:rPr>
        <w:t>approaches.</w:t>
      </w:r>
      <w:r w:rsidR="00106AA0">
        <w:rPr>
          <w:rStyle w:val="FootnoteReference"/>
          <w:rFonts w:eastAsia="Times New Roman"/>
          <w:color w:val="000000"/>
          <w:szCs w:val="24"/>
        </w:rPr>
        <w:footnoteReference w:id="42"/>
      </w:r>
      <w:r w:rsidRPr="00924A62">
        <w:rPr>
          <w:rFonts w:eastAsia="Times New Roman"/>
          <w:color w:val="000000"/>
          <w:szCs w:val="24"/>
        </w:rPr>
        <w:t xml:space="preserve"> First, the </w:t>
      </w:r>
      <w:r w:rsidR="00106E69">
        <w:rPr>
          <w:rFonts w:eastAsia="Times New Roman"/>
          <w:color w:val="000000"/>
          <w:szCs w:val="24"/>
        </w:rPr>
        <w:t>licensing terms</w:t>
      </w:r>
      <w:r w:rsidRPr="00924A62">
        <w:rPr>
          <w:rFonts w:eastAsia="Times New Roman"/>
          <w:color w:val="000000"/>
          <w:szCs w:val="24"/>
        </w:rPr>
        <w:t xml:space="preserve"> are negotiated before a large-scale public health crisis unfolds, when there are fewer bargaining pressures. Second, a dormant license furthers the goal of </w:t>
      </w:r>
      <w:r w:rsidR="00106E69">
        <w:rPr>
          <w:rFonts w:eastAsia="Times New Roman"/>
          <w:color w:val="000000"/>
          <w:szCs w:val="24"/>
        </w:rPr>
        <w:t xml:space="preserve">increasing </w:t>
      </w:r>
      <w:r w:rsidRPr="00924A62">
        <w:rPr>
          <w:rFonts w:eastAsia="Times New Roman"/>
          <w:color w:val="000000"/>
          <w:szCs w:val="24"/>
        </w:rPr>
        <w:t xml:space="preserve">legal certainty by setting clear obligations and corresponding rewards before the need for expedited R&amp;D arises. </w:t>
      </w:r>
      <w:r w:rsidR="0061562D">
        <w:rPr>
          <w:rFonts w:eastAsia="Times New Roman"/>
          <w:color w:val="000000"/>
          <w:szCs w:val="24"/>
        </w:rPr>
        <w:t>And t</w:t>
      </w:r>
      <w:r w:rsidR="0061562D" w:rsidRPr="00924A62">
        <w:rPr>
          <w:rFonts w:eastAsia="Times New Roman"/>
          <w:color w:val="000000"/>
          <w:szCs w:val="24"/>
        </w:rPr>
        <w:t>hird</w:t>
      </w:r>
      <w:r w:rsidRPr="00924A62">
        <w:rPr>
          <w:rFonts w:eastAsia="Times New Roman"/>
          <w:color w:val="000000"/>
          <w:szCs w:val="24"/>
        </w:rPr>
        <w:t xml:space="preserve">, while designed to impose some sort of limitation on licensees, a dormant license </w:t>
      </w:r>
      <w:r w:rsidR="00BB52E0">
        <w:rPr>
          <w:rFonts w:eastAsia="Times New Roman"/>
          <w:color w:val="000000"/>
          <w:szCs w:val="24"/>
        </w:rPr>
        <w:t xml:space="preserve">will </w:t>
      </w:r>
      <w:r w:rsidR="002F3EDC">
        <w:rPr>
          <w:rFonts w:eastAsia="Times New Roman"/>
          <w:color w:val="000000"/>
          <w:szCs w:val="24"/>
        </w:rPr>
        <w:t>contribute towards monetization of the licensed product</w:t>
      </w:r>
      <w:r w:rsidR="00CC2D36">
        <w:rPr>
          <w:rFonts w:eastAsia="Times New Roman"/>
          <w:color w:val="000000"/>
          <w:szCs w:val="24"/>
        </w:rPr>
        <w:t xml:space="preserve"> or products</w:t>
      </w:r>
      <w:r w:rsidR="008F7A85">
        <w:rPr>
          <w:rFonts w:eastAsia="Times New Roman"/>
          <w:color w:val="000000"/>
          <w:szCs w:val="24"/>
        </w:rPr>
        <w:t xml:space="preserve">, </w:t>
      </w:r>
      <w:r w:rsidR="00B13BDB" w:rsidRPr="00B13BDB">
        <w:rPr>
          <w:rFonts w:eastAsia="Times New Roman"/>
          <w:color w:val="000000"/>
          <w:szCs w:val="24"/>
        </w:rPr>
        <w:t>as it integrates compensation for the rights holder</w:t>
      </w:r>
      <w:r w:rsidR="008F7A85">
        <w:rPr>
          <w:rFonts w:eastAsia="Times New Roman"/>
          <w:color w:val="000000"/>
          <w:szCs w:val="24"/>
        </w:rPr>
        <w:t xml:space="preserve">. </w:t>
      </w:r>
    </w:p>
    <w:p w14:paraId="4FA2F828" w14:textId="3BD0CAEC" w:rsidR="009A73E5" w:rsidRPr="00924A62" w:rsidRDefault="009A73E5" w:rsidP="00F25B04">
      <w:pPr>
        <w:pStyle w:val="Body"/>
        <w:rPr>
          <w:rFonts w:eastAsia="Times New Roman"/>
          <w:color w:val="000000"/>
          <w:szCs w:val="24"/>
        </w:rPr>
      </w:pPr>
      <w:r>
        <w:rPr>
          <w:rFonts w:eastAsia="Times New Roman"/>
          <w:color w:val="000000"/>
          <w:szCs w:val="24"/>
        </w:rPr>
        <w:t>The presence of dormant licensing provisions in funding contracts will admittedly not be attractive to all firms. Large and established pharmaceutical companies, such as Pfizer, are likely to refuse any funding with such conditions.</w:t>
      </w:r>
      <w:r>
        <w:rPr>
          <w:rStyle w:val="FootnoteReference"/>
          <w:rFonts w:eastAsia="Times New Roman"/>
          <w:color w:val="000000"/>
          <w:szCs w:val="24"/>
        </w:rPr>
        <w:footnoteReference w:id="43"/>
      </w:r>
      <w:r>
        <w:rPr>
          <w:rFonts w:eastAsia="Times New Roman"/>
          <w:color w:val="000000"/>
          <w:szCs w:val="24"/>
        </w:rPr>
        <w:t xml:space="preserve"> However, small</w:t>
      </w:r>
      <w:r w:rsidRPr="00924A62">
        <w:rPr>
          <w:rFonts w:eastAsia="Times New Roman"/>
          <w:color w:val="000000"/>
          <w:szCs w:val="24"/>
        </w:rPr>
        <w:t xml:space="preserve"> to </w:t>
      </w:r>
      <w:r>
        <w:rPr>
          <w:rFonts w:eastAsia="Times New Roman"/>
          <w:color w:val="000000"/>
          <w:szCs w:val="24"/>
        </w:rPr>
        <w:t>medium</w:t>
      </w:r>
      <w:r w:rsidRPr="00924A62">
        <w:rPr>
          <w:rFonts w:eastAsia="Times New Roman"/>
          <w:color w:val="000000"/>
          <w:szCs w:val="24"/>
        </w:rPr>
        <w:t>-size</w:t>
      </w:r>
      <w:r>
        <w:rPr>
          <w:rFonts w:eastAsia="Times New Roman"/>
          <w:color w:val="000000"/>
          <w:szCs w:val="24"/>
        </w:rPr>
        <w:t xml:space="preserve"> firms engaging in</w:t>
      </w:r>
      <w:r w:rsidRPr="00924A62">
        <w:rPr>
          <w:rFonts w:eastAsia="Times New Roman"/>
          <w:color w:val="000000"/>
          <w:szCs w:val="24"/>
        </w:rPr>
        <w:t xml:space="preserve"> R&amp;D </w:t>
      </w:r>
      <w:r>
        <w:rPr>
          <w:rFonts w:eastAsia="Times New Roman"/>
          <w:color w:val="000000"/>
          <w:szCs w:val="24"/>
        </w:rPr>
        <w:t xml:space="preserve">may be willing </w:t>
      </w:r>
      <w:r w:rsidRPr="00924A62">
        <w:rPr>
          <w:rFonts w:eastAsia="Times New Roman"/>
          <w:color w:val="000000"/>
          <w:szCs w:val="24"/>
        </w:rPr>
        <w:t>to agree to a dormant license</w:t>
      </w:r>
      <w:r>
        <w:rPr>
          <w:rFonts w:eastAsia="Times New Roman"/>
          <w:color w:val="000000"/>
          <w:szCs w:val="24"/>
        </w:rPr>
        <w:t>, particularly for underfunded areas of research.</w:t>
      </w:r>
      <w:r>
        <w:rPr>
          <w:rStyle w:val="FootnoteReference"/>
          <w:rFonts w:eastAsia="Times New Roman"/>
          <w:color w:val="000000"/>
          <w:szCs w:val="24"/>
        </w:rPr>
        <w:footnoteReference w:id="44"/>
      </w:r>
      <w:r w:rsidRPr="00924A62">
        <w:rPr>
          <w:rFonts w:eastAsia="Times New Roman"/>
          <w:color w:val="000000"/>
          <w:szCs w:val="24"/>
        </w:rPr>
        <w:t xml:space="preserve"> </w:t>
      </w:r>
      <w:r>
        <w:rPr>
          <w:rFonts w:eastAsia="Times New Roman"/>
          <w:color w:val="000000"/>
          <w:szCs w:val="24"/>
        </w:rPr>
        <w:t>Likewise, newer</w:t>
      </w:r>
      <w:r w:rsidRPr="00924A62">
        <w:rPr>
          <w:rFonts w:eastAsia="Times New Roman"/>
          <w:color w:val="000000"/>
          <w:szCs w:val="24"/>
        </w:rPr>
        <w:t xml:space="preserve"> firms</w:t>
      </w:r>
      <w:r>
        <w:rPr>
          <w:rFonts w:eastAsia="Times New Roman"/>
          <w:color w:val="000000"/>
          <w:szCs w:val="24"/>
        </w:rPr>
        <w:t xml:space="preserve"> that are dependent on</w:t>
      </w:r>
      <w:r w:rsidRPr="00924A62">
        <w:rPr>
          <w:rFonts w:eastAsia="Times New Roman"/>
          <w:color w:val="000000"/>
          <w:szCs w:val="24"/>
        </w:rPr>
        <w:t xml:space="preserve"> </w:t>
      </w:r>
      <w:r>
        <w:rPr>
          <w:rFonts w:eastAsia="Times New Roman"/>
          <w:color w:val="000000"/>
          <w:szCs w:val="24"/>
        </w:rPr>
        <w:t xml:space="preserve">external </w:t>
      </w:r>
      <w:r w:rsidRPr="00924A62">
        <w:rPr>
          <w:rFonts w:eastAsia="Times New Roman"/>
          <w:color w:val="000000"/>
          <w:szCs w:val="24"/>
        </w:rPr>
        <w:t xml:space="preserve">R&amp;D funding are more likely to agree to </w:t>
      </w:r>
      <w:r>
        <w:rPr>
          <w:rFonts w:eastAsia="Times New Roman"/>
          <w:color w:val="000000"/>
          <w:szCs w:val="24"/>
        </w:rPr>
        <w:t>such provisions</w:t>
      </w:r>
      <w:r w:rsidRPr="00924A62">
        <w:rPr>
          <w:rFonts w:eastAsia="Times New Roman"/>
          <w:color w:val="000000"/>
          <w:szCs w:val="24"/>
        </w:rPr>
        <w:t>.</w:t>
      </w:r>
    </w:p>
    <w:p w14:paraId="18D5A8FF" w14:textId="3BBABFFB" w:rsidR="00924A62" w:rsidRPr="00924A62" w:rsidRDefault="00924A62" w:rsidP="00144995">
      <w:pPr>
        <w:pStyle w:val="Heading1"/>
      </w:pPr>
      <w:r w:rsidRPr="00924A62">
        <w:lastRenderedPageBreak/>
        <w:t>V. Conclusion</w:t>
      </w:r>
    </w:p>
    <w:p w14:paraId="25DA0D1E" w14:textId="14A48276" w:rsidR="00F25B04" w:rsidRDefault="00CB6E88" w:rsidP="00F25B04">
      <w:pPr>
        <w:pStyle w:val="Body"/>
      </w:pPr>
      <w:r>
        <w:t>P</w:t>
      </w:r>
      <w:r w:rsidR="00D34B3A">
        <w:t>ast and current</w:t>
      </w:r>
      <w:r w:rsidR="00924A62" w:rsidRPr="00924A62">
        <w:t xml:space="preserve"> public health crises have shown that </w:t>
      </w:r>
      <w:r w:rsidR="00FB32D2">
        <w:t>high-income</w:t>
      </w:r>
      <w:r w:rsidR="00FB32D2" w:rsidRPr="00924A62">
        <w:t xml:space="preserve"> </w:t>
      </w:r>
      <w:r w:rsidR="00924A62" w:rsidRPr="00924A62">
        <w:t xml:space="preserve">countries have failed to proactively address </w:t>
      </w:r>
      <w:r>
        <w:t>pandemic- and epidemic-driven</w:t>
      </w:r>
      <w:r w:rsidR="00924A62" w:rsidRPr="00924A62">
        <w:t xml:space="preserve"> drug shortages. </w:t>
      </w:r>
      <w:r w:rsidR="00A05ED5">
        <w:t>Worse still</w:t>
      </w:r>
      <w:r w:rsidR="00924A62" w:rsidRPr="00924A62">
        <w:t xml:space="preserve">, high-income countries frequently hoard scarce </w:t>
      </w:r>
      <w:r w:rsidR="00A05ED5">
        <w:t>medicines</w:t>
      </w:r>
      <w:r w:rsidR="00A05ED5" w:rsidRPr="00924A62">
        <w:t xml:space="preserve"> </w:t>
      </w:r>
      <w:r w:rsidR="00924A62" w:rsidRPr="00924A62">
        <w:t xml:space="preserve">with little thought for whether those </w:t>
      </w:r>
      <w:r w:rsidR="008F7A85">
        <w:t>located</w:t>
      </w:r>
      <w:r w:rsidR="008F7A85" w:rsidRPr="00924A62">
        <w:t xml:space="preserve"> </w:t>
      </w:r>
      <w:r w:rsidR="00924A62" w:rsidRPr="00924A62">
        <w:t xml:space="preserve">in </w:t>
      </w:r>
      <w:r w:rsidR="00C71297">
        <w:t>the Global South</w:t>
      </w:r>
      <w:r w:rsidR="00924A62" w:rsidRPr="00924A62">
        <w:t xml:space="preserve"> have access. </w:t>
      </w:r>
      <w:r w:rsidR="00122EAD">
        <w:t>Governments</w:t>
      </w:r>
      <w:r w:rsidR="00122EAD" w:rsidRPr="00924A62">
        <w:t xml:space="preserve"> </w:t>
      </w:r>
      <w:r w:rsidR="00924A62" w:rsidRPr="00924A62">
        <w:t>and institutions providing funding for pharmaceutical development have generally taken few steps to proactively ensure the adequate production</w:t>
      </w:r>
      <w:r w:rsidR="00D60830">
        <w:t xml:space="preserve">, as well as the </w:t>
      </w:r>
      <w:r w:rsidR="00924A62" w:rsidRPr="00924A62">
        <w:t xml:space="preserve">fair pricing </w:t>
      </w:r>
      <w:r w:rsidR="00D60830">
        <w:t xml:space="preserve">and allocation </w:t>
      </w:r>
      <w:r w:rsidR="00924A62" w:rsidRPr="00924A62">
        <w:t xml:space="preserve">of </w:t>
      </w:r>
      <w:r w:rsidR="00D60830">
        <w:t>medicines</w:t>
      </w:r>
      <w:r w:rsidR="00924A62" w:rsidRPr="00924A62">
        <w:t>. During the COVID-19 pandemic, existing flexibilities under TRIPS provided little relief, given that there was no mechanism for compelling pharmaceutical companies to share vital drug-manufacturing know-how with third-party manufacturers.</w:t>
      </w:r>
    </w:p>
    <w:p w14:paraId="51C09A98" w14:textId="658D61B3" w:rsidR="00F942E0" w:rsidRPr="00AE0A4E" w:rsidRDefault="00810B1B" w:rsidP="00AE0A4E">
      <w:pPr>
        <w:pStyle w:val="Body"/>
      </w:pPr>
      <w:r>
        <w:rPr>
          <w:rFonts w:eastAsia="Times New Roman"/>
          <w:color w:val="000000"/>
          <w:szCs w:val="24"/>
        </w:rPr>
        <w:t>Moving forward, g</w:t>
      </w:r>
      <w:r w:rsidRPr="00924A62">
        <w:rPr>
          <w:rFonts w:eastAsia="Times New Roman"/>
          <w:color w:val="000000"/>
          <w:szCs w:val="24"/>
        </w:rPr>
        <w:t>overnment</w:t>
      </w:r>
      <w:r>
        <w:rPr>
          <w:rFonts w:eastAsia="Times New Roman"/>
          <w:color w:val="000000"/>
          <w:szCs w:val="24"/>
        </w:rPr>
        <w:t>al</w:t>
      </w:r>
      <w:r w:rsidRPr="00924A62">
        <w:rPr>
          <w:rFonts w:eastAsia="Times New Roman"/>
          <w:color w:val="000000"/>
          <w:szCs w:val="24"/>
        </w:rPr>
        <w:t xml:space="preserve"> </w:t>
      </w:r>
      <w:r w:rsidR="00924A62" w:rsidRPr="00924A62">
        <w:rPr>
          <w:rFonts w:eastAsia="Times New Roman"/>
          <w:color w:val="000000"/>
          <w:szCs w:val="24"/>
        </w:rPr>
        <w:t xml:space="preserve">and non-governmental entities </w:t>
      </w:r>
      <w:r w:rsidR="003864E6">
        <w:rPr>
          <w:rFonts w:eastAsia="Times New Roman"/>
          <w:color w:val="000000"/>
          <w:szCs w:val="24"/>
        </w:rPr>
        <w:t>should</w:t>
      </w:r>
      <w:r w:rsidR="00924A62" w:rsidRPr="00924A62">
        <w:rPr>
          <w:rFonts w:eastAsia="Times New Roman"/>
          <w:color w:val="000000"/>
          <w:szCs w:val="24"/>
        </w:rPr>
        <w:t xml:space="preserve"> take a proactive approach to anticipating </w:t>
      </w:r>
      <w:r w:rsidR="003864E6">
        <w:rPr>
          <w:rFonts w:eastAsia="Times New Roman"/>
          <w:color w:val="000000"/>
          <w:szCs w:val="24"/>
        </w:rPr>
        <w:t xml:space="preserve">such </w:t>
      </w:r>
      <w:r w:rsidR="00924A62" w:rsidRPr="00924A62">
        <w:rPr>
          <w:rFonts w:eastAsia="Times New Roman"/>
          <w:color w:val="000000"/>
          <w:szCs w:val="24"/>
        </w:rPr>
        <w:t xml:space="preserve">scarcity </w:t>
      </w:r>
      <w:r w:rsidR="00A750B4">
        <w:rPr>
          <w:rFonts w:eastAsia="Times New Roman"/>
          <w:color w:val="000000"/>
          <w:szCs w:val="24"/>
        </w:rPr>
        <w:t xml:space="preserve">by </w:t>
      </w:r>
      <w:r w:rsidR="00924A62" w:rsidRPr="00924A62">
        <w:rPr>
          <w:rFonts w:eastAsia="Times New Roman"/>
          <w:color w:val="000000"/>
          <w:szCs w:val="24"/>
        </w:rPr>
        <w:t>us</w:t>
      </w:r>
      <w:r w:rsidR="00A750B4">
        <w:rPr>
          <w:rFonts w:eastAsia="Times New Roman"/>
          <w:color w:val="000000"/>
          <w:szCs w:val="24"/>
        </w:rPr>
        <w:t>ing</w:t>
      </w:r>
      <w:r w:rsidR="00924A62" w:rsidRPr="00924A62">
        <w:rPr>
          <w:rFonts w:eastAsia="Times New Roman"/>
          <w:color w:val="000000"/>
          <w:szCs w:val="24"/>
        </w:rPr>
        <w:t xml:space="preserve"> funding as leverage for obtaining promises regarding drug supply and pricing. We propose two levels </w:t>
      </w:r>
      <w:r w:rsidR="00B03669">
        <w:rPr>
          <w:rFonts w:eastAsia="Times New Roman"/>
          <w:color w:val="000000"/>
          <w:szCs w:val="24"/>
        </w:rPr>
        <w:t>on which</w:t>
      </w:r>
      <w:r w:rsidR="00B03669" w:rsidRPr="00924A62">
        <w:rPr>
          <w:rFonts w:eastAsia="Times New Roman"/>
          <w:color w:val="000000"/>
          <w:szCs w:val="24"/>
        </w:rPr>
        <w:t xml:space="preserve"> </w:t>
      </w:r>
      <w:r w:rsidR="00924A62" w:rsidRPr="00924A62">
        <w:rPr>
          <w:rFonts w:eastAsia="Times New Roman"/>
          <w:color w:val="000000"/>
          <w:szCs w:val="24"/>
        </w:rPr>
        <w:t xml:space="preserve">this can operate. More narrowly, when </w:t>
      </w:r>
      <w:r w:rsidR="009506AD">
        <w:rPr>
          <w:rFonts w:eastAsia="Times New Roman"/>
          <w:color w:val="000000"/>
          <w:szCs w:val="24"/>
        </w:rPr>
        <w:t>entities</w:t>
      </w:r>
      <w:r w:rsidR="00924A62" w:rsidRPr="00924A62">
        <w:rPr>
          <w:rFonts w:eastAsia="Times New Roman"/>
          <w:color w:val="000000"/>
          <w:szCs w:val="24"/>
        </w:rPr>
        <w:t xml:space="preserve"> </w:t>
      </w:r>
      <w:r w:rsidR="00A750B4" w:rsidRPr="00924A62">
        <w:rPr>
          <w:rFonts w:eastAsia="Times New Roman"/>
          <w:color w:val="000000"/>
          <w:szCs w:val="24"/>
        </w:rPr>
        <w:t xml:space="preserve">fund </w:t>
      </w:r>
      <w:r w:rsidR="00924A62" w:rsidRPr="00924A62">
        <w:rPr>
          <w:rFonts w:eastAsia="Times New Roman"/>
          <w:color w:val="000000"/>
          <w:szCs w:val="24"/>
        </w:rPr>
        <w:t>pandemic-</w:t>
      </w:r>
      <w:r w:rsidR="009B540E">
        <w:rPr>
          <w:rFonts w:eastAsia="Times New Roman"/>
          <w:color w:val="000000"/>
          <w:szCs w:val="24"/>
        </w:rPr>
        <w:t xml:space="preserve"> or epidemic-</w:t>
      </w:r>
      <w:r w:rsidR="00924A62" w:rsidRPr="00924A62">
        <w:rPr>
          <w:rFonts w:eastAsia="Times New Roman"/>
          <w:color w:val="000000"/>
          <w:szCs w:val="24"/>
        </w:rPr>
        <w:t xml:space="preserve">specific drug </w:t>
      </w:r>
      <w:r w:rsidR="00A750B4">
        <w:rPr>
          <w:rFonts w:eastAsia="Times New Roman"/>
          <w:color w:val="000000"/>
          <w:szCs w:val="24"/>
        </w:rPr>
        <w:t>R&amp;D</w:t>
      </w:r>
      <w:r w:rsidR="00924A62" w:rsidRPr="00924A62">
        <w:rPr>
          <w:rFonts w:eastAsia="Times New Roman"/>
          <w:color w:val="000000"/>
          <w:szCs w:val="24"/>
        </w:rPr>
        <w:t>, they c</w:t>
      </w:r>
      <w:r w:rsidR="009506AD">
        <w:rPr>
          <w:rFonts w:eastAsia="Times New Roman"/>
          <w:color w:val="000000"/>
          <w:szCs w:val="24"/>
        </w:rPr>
        <w:t>ould</w:t>
      </w:r>
      <w:r w:rsidR="00924A62" w:rsidRPr="00924A62">
        <w:rPr>
          <w:rFonts w:eastAsia="Times New Roman"/>
          <w:color w:val="000000"/>
          <w:szCs w:val="24"/>
        </w:rPr>
        <w:t xml:space="preserve"> extract contractual promises to make any resulting </w:t>
      </w:r>
      <w:r w:rsidR="00B26519">
        <w:rPr>
          <w:rFonts w:eastAsia="Times New Roman"/>
          <w:color w:val="000000"/>
          <w:szCs w:val="24"/>
        </w:rPr>
        <w:t>medicine</w:t>
      </w:r>
      <w:r w:rsidR="008A5F15" w:rsidRPr="00924A62">
        <w:rPr>
          <w:rFonts w:eastAsia="Times New Roman"/>
          <w:color w:val="000000"/>
          <w:szCs w:val="24"/>
        </w:rPr>
        <w:t xml:space="preserve"> </w:t>
      </w:r>
      <w:r w:rsidR="00924A62" w:rsidRPr="00924A62">
        <w:rPr>
          <w:rFonts w:eastAsia="Times New Roman"/>
          <w:color w:val="000000"/>
          <w:szCs w:val="24"/>
        </w:rPr>
        <w:t xml:space="preserve">in sufficient quantity to meet demand and </w:t>
      </w:r>
      <w:r w:rsidR="009506AD">
        <w:rPr>
          <w:rFonts w:eastAsia="Times New Roman"/>
          <w:color w:val="000000"/>
          <w:szCs w:val="24"/>
        </w:rPr>
        <w:t xml:space="preserve">to </w:t>
      </w:r>
      <w:r w:rsidR="00924A62" w:rsidRPr="00924A62">
        <w:rPr>
          <w:rFonts w:eastAsia="Times New Roman"/>
          <w:color w:val="000000"/>
          <w:szCs w:val="24"/>
        </w:rPr>
        <w:t xml:space="preserve">require that the recipient provide </w:t>
      </w:r>
      <w:r w:rsidR="008A5F15">
        <w:rPr>
          <w:rFonts w:eastAsia="Times New Roman"/>
          <w:color w:val="000000"/>
          <w:szCs w:val="24"/>
        </w:rPr>
        <w:t>the health product</w:t>
      </w:r>
      <w:r w:rsidR="008A5F15" w:rsidRPr="00924A62">
        <w:rPr>
          <w:rFonts w:eastAsia="Times New Roman"/>
          <w:color w:val="000000"/>
          <w:szCs w:val="24"/>
        </w:rPr>
        <w:t xml:space="preserve"> </w:t>
      </w:r>
      <w:r w:rsidR="00924A62" w:rsidRPr="00924A62">
        <w:rPr>
          <w:rFonts w:eastAsia="Times New Roman"/>
          <w:color w:val="000000"/>
          <w:szCs w:val="24"/>
        </w:rPr>
        <w:t xml:space="preserve">to </w:t>
      </w:r>
      <w:r w:rsidR="009E5EB1">
        <w:rPr>
          <w:rFonts w:eastAsia="Times New Roman"/>
          <w:color w:val="000000"/>
          <w:szCs w:val="24"/>
        </w:rPr>
        <w:t>lower-income countries</w:t>
      </w:r>
      <w:r w:rsidR="00924A62" w:rsidRPr="00924A62">
        <w:rPr>
          <w:rFonts w:eastAsia="Times New Roman"/>
          <w:color w:val="000000"/>
          <w:szCs w:val="24"/>
        </w:rPr>
        <w:t xml:space="preserve"> at reasonable prices. In the event of scarcity, the funding recipient would be obligated to license out its technology to willing third parties, in exchange for pre-determined compensation. </w:t>
      </w:r>
      <w:r w:rsidR="009E5EB1">
        <w:rPr>
          <w:rFonts w:eastAsia="Times New Roman"/>
          <w:color w:val="000000"/>
          <w:szCs w:val="24"/>
        </w:rPr>
        <w:t>More broadly</w:t>
      </w:r>
      <w:r w:rsidR="00924A62" w:rsidRPr="00924A62">
        <w:rPr>
          <w:rFonts w:eastAsia="Times New Roman"/>
          <w:color w:val="000000"/>
          <w:szCs w:val="24"/>
        </w:rPr>
        <w:t xml:space="preserve">, </w:t>
      </w:r>
      <w:r w:rsidR="007342B4">
        <w:rPr>
          <w:rFonts w:eastAsia="Times New Roman"/>
          <w:color w:val="000000"/>
          <w:szCs w:val="24"/>
        </w:rPr>
        <w:t>they</w:t>
      </w:r>
      <w:r w:rsidR="00924A62" w:rsidRPr="00924A62">
        <w:rPr>
          <w:rFonts w:eastAsia="Times New Roman"/>
          <w:color w:val="000000"/>
          <w:szCs w:val="24"/>
        </w:rPr>
        <w:t xml:space="preserve"> </w:t>
      </w:r>
      <w:r w:rsidR="001515A7">
        <w:rPr>
          <w:rFonts w:eastAsia="Times New Roman"/>
          <w:color w:val="000000"/>
          <w:szCs w:val="24"/>
        </w:rPr>
        <w:t>could</w:t>
      </w:r>
      <w:r w:rsidR="001515A7" w:rsidRPr="00924A62">
        <w:rPr>
          <w:rFonts w:eastAsia="Times New Roman"/>
          <w:color w:val="000000"/>
          <w:szCs w:val="24"/>
        </w:rPr>
        <w:t xml:space="preserve"> </w:t>
      </w:r>
      <w:r w:rsidR="00924A62" w:rsidRPr="00924A62">
        <w:rPr>
          <w:rFonts w:eastAsia="Times New Roman"/>
          <w:color w:val="000000"/>
          <w:szCs w:val="24"/>
        </w:rPr>
        <w:t xml:space="preserve">incorporate such promises into </w:t>
      </w:r>
      <w:r w:rsidR="00F21744">
        <w:rPr>
          <w:rFonts w:eastAsia="Times New Roman"/>
          <w:color w:val="000000"/>
          <w:szCs w:val="24"/>
        </w:rPr>
        <w:t>funding agreements</w:t>
      </w:r>
      <w:r w:rsidR="00CE1FCB">
        <w:rPr>
          <w:rFonts w:eastAsia="Times New Roman"/>
          <w:color w:val="000000"/>
          <w:szCs w:val="24"/>
        </w:rPr>
        <w:t xml:space="preserve"> for emerging pathogen research, by</w:t>
      </w:r>
      <w:r w:rsidR="00924A62" w:rsidRPr="00924A62">
        <w:rPr>
          <w:rFonts w:eastAsia="Times New Roman"/>
          <w:color w:val="000000"/>
          <w:szCs w:val="24"/>
        </w:rPr>
        <w:t xml:space="preserve"> using a dormant license that triggers in the event of a pandemic or epidemic. </w:t>
      </w:r>
      <w:r w:rsidR="00F7342D">
        <w:rPr>
          <w:rFonts w:eastAsia="Times New Roman"/>
          <w:color w:val="000000"/>
          <w:szCs w:val="24"/>
        </w:rPr>
        <w:t xml:space="preserve">These strategies provide funding entities with a flexible mechanism for </w:t>
      </w:r>
      <w:r w:rsidR="00E70D26">
        <w:rPr>
          <w:rFonts w:eastAsia="Times New Roman"/>
          <w:color w:val="000000"/>
          <w:szCs w:val="24"/>
        </w:rPr>
        <w:t>mitigating</w:t>
      </w:r>
      <w:r w:rsidR="00F7342D">
        <w:rPr>
          <w:rFonts w:eastAsia="Times New Roman"/>
          <w:color w:val="000000"/>
          <w:szCs w:val="24"/>
        </w:rPr>
        <w:t xml:space="preserve"> pandemic and epidemic-driven </w:t>
      </w:r>
      <w:r w:rsidR="00E70D26">
        <w:rPr>
          <w:rFonts w:eastAsia="Times New Roman"/>
          <w:color w:val="000000"/>
          <w:szCs w:val="24"/>
        </w:rPr>
        <w:t>shortages and preventing distributional inequalities.</w:t>
      </w:r>
    </w:p>
    <w:sectPr w:rsidR="00F942E0" w:rsidRPr="00AE0A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6A79D" w14:textId="77777777" w:rsidR="007F40D6" w:rsidRDefault="007F40D6" w:rsidP="00D1276B">
      <w:r>
        <w:separator/>
      </w:r>
    </w:p>
  </w:endnote>
  <w:endnote w:type="continuationSeparator" w:id="0">
    <w:p w14:paraId="13319A17" w14:textId="77777777" w:rsidR="007F40D6" w:rsidRDefault="007F40D6" w:rsidP="00D1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auto"/>
    <w:pitch w:val="variable"/>
    <w:sig w:usb0="E0002AFF" w:usb1="C0007841"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4221" w14:textId="77777777" w:rsidR="007F40D6" w:rsidRDefault="007F40D6" w:rsidP="00D1276B">
      <w:r>
        <w:separator/>
      </w:r>
    </w:p>
  </w:footnote>
  <w:footnote w:type="continuationSeparator" w:id="0">
    <w:p w14:paraId="2E8745A3" w14:textId="77777777" w:rsidR="007F40D6" w:rsidRDefault="007F40D6" w:rsidP="00D1276B">
      <w:r>
        <w:continuationSeparator/>
      </w:r>
    </w:p>
  </w:footnote>
  <w:footnote w:id="1">
    <w:p w14:paraId="5A87B4E8" w14:textId="74528F7E" w:rsidR="00D1276B" w:rsidRDefault="00D1276B">
      <w:pPr>
        <w:pStyle w:val="FootnoteText"/>
      </w:pPr>
      <w:r>
        <w:rPr>
          <w:rStyle w:val="FootnoteReference"/>
        </w:rPr>
        <w:footnoteRef/>
      </w:r>
      <w:r>
        <w:t xml:space="preserve"> Sapna Kumar holds the John Mixon Chair</w:t>
      </w:r>
      <w:r w:rsidR="00E47EAA">
        <w:t xml:space="preserve"> in Law</w:t>
      </w:r>
      <w:r>
        <w:t xml:space="preserve"> at the University of Houston Law Center, and is the co-director of the Institute for Intellectual Property and Information Law. Ana Santos Rutschman</w:t>
      </w:r>
      <w:r w:rsidR="0070441B">
        <w:t xml:space="preserve"> is </w:t>
      </w:r>
      <w:r w:rsidR="007133CD">
        <w:t>a P</w:t>
      </w:r>
      <w:r w:rsidR="00DB79B9">
        <w:t xml:space="preserve">rofessor of Law at Villanova Charles </w:t>
      </w:r>
      <w:proofErr w:type="spellStart"/>
      <w:r w:rsidR="00DB79B9">
        <w:t>Widger</w:t>
      </w:r>
      <w:proofErr w:type="spellEnd"/>
      <w:r w:rsidR="00DB79B9">
        <w:t xml:space="preserve"> School of Law.</w:t>
      </w:r>
    </w:p>
  </w:footnote>
  <w:footnote w:id="2">
    <w:p w14:paraId="3CEF8229" w14:textId="0D762B55" w:rsidR="00E9692C" w:rsidRDefault="00E9692C">
      <w:pPr>
        <w:pStyle w:val="FootnoteText"/>
      </w:pPr>
      <w:r>
        <w:rPr>
          <w:rStyle w:val="FootnoteReference"/>
        </w:rPr>
        <w:footnoteRef/>
      </w:r>
      <w:r>
        <w:t xml:space="preserve"> </w:t>
      </w:r>
      <w:r w:rsidRPr="000D3DD1">
        <w:rPr>
          <w:i/>
          <w:iCs/>
        </w:rPr>
        <w:t>See generally</w:t>
      </w:r>
      <w:r>
        <w:t xml:space="preserve"> </w:t>
      </w:r>
      <w:r w:rsidRPr="00E9692C">
        <w:t>David Blumenthal</w:t>
      </w:r>
      <w:r>
        <w:t xml:space="preserve"> et al., </w:t>
      </w:r>
      <w:r w:rsidRPr="000D3DD1">
        <w:rPr>
          <w:i/>
          <w:iCs/>
        </w:rPr>
        <w:t>Covid-19 — Implications for the Health Care System</w:t>
      </w:r>
      <w:r>
        <w:t xml:space="preserve">, </w:t>
      </w:r>
      <w:r w:rsidR="004A447F">
        <w:t xml:space="preserve">383 </w:t>
      </w:r>
      <w:r w:rsidRPr="000D3DD1">
        <w:rPr>
          <w:smallCaps/>
        </w:rPr>
        <w:t>New Engl. J. Med</w:t>
      </w:r>
      <w:r>
        <w:t xml:space="preserve">. </w:t>
      </w:r>
      <w:r w:rsidR="004A447F">
        <w:t xml:space="preserve">1483 </w:t>
      </w:r>
      <w:r>
        <w:t>(2020)</w:t>
      </w:r>
      <w:r w:rsidR="00572BBF">
        <w:t>;</w:t>
      </w:r>
      <w:r w:rsidR="00DA241C">
        <w:t xml:space="preserve"> Alan D. Kaye et al., </w:t>
      </w:r>
      <w:r w:rsidR="00DA241C" w:rsidRPr="000D3DD1">
        <w:rPr>
          <w:i/>
          <w:iCs/>
        </w:rPr>
        <w:t>Economic Impact of COVID-19 Pandemic on Healthcare Facilities and Systems: International Perspectives</w:t>
      </w:r>
      <w:r w:rsidR="00DA241C">
        <w:t xml:space="preserve">, 35 </w:t>
      </w:r>
      <w:r w:rsidR="00DA241C" w:rsidRPr="00DA241C">
        <w:rPr>
          <w:smallCaps/>
        </w:rPr>
        <w:t xml:space="preserve">Best </w:t>
      </w:r>
      <w:proofErr w:type="spellStart"/>
      <w:r w:rsidR="00DA241C" w:rsidRPr="00DA241C">
        <w:rPr>
          <w:smallCaps/>
        </w:rPr>
        <w:t>Pract</w:t>
      </w:r>
      <w:proofErr w:type="spellEnd"/>
      <w:r w:rsidR="00DA241C">
        <w:rPr>
          <w:smallCaps/>
        </w:rPr>
        <w:t>.</w:t>
      </w:r>
      <w:r w:rsidR="00DA241C" w:rsidRPr="00DA241C">
        <w:rPr>
          <w:smallCaps/>
        </w:rPr>
        <w:t xml:space="preserve"> Res</w:t>
      </w:r>
      <w:r w:rsidR="00DA241C">
        <w:rPr>
          <w:smallCaps/>
        </w:rPr>
        <w:t>.</w:t>
      </w:r>
      <w:r w:rsidR="00DA241C" w:rsidRPr="00DA241C">
        <w:rPr>
          <w:smallCaps/>
        </w:rPr>
        <w:t xml:space="preserve"> Clin</w:t>
      </w:r>
      <w:r w:rsidR="00DA241C">
        <w:rPr>
          <w:smallCaps/>
        </w:rPr>
        <w:t>.</w:t>
      </w:r>
      <w:r w:rsidR="00DA241C" w:rsidRPr="00DA241C">
        <w:rPr>
          <w:smallCaps/>
        </w:rPr>
        <w:t xml:space="preserve"> </w:t>
      </w:r>
      <w:proofErr w:type="spellStart"/>
      <w:r w:rsidR="00DA241C" w:rsidRPr="00DA241C">
        <w:rPr>
          <w:smallCaps/>
        </w:rPr>
        <w:t>Anaesthesiol</w:t>
      </w:r>
      <w:proofErr w:type="spellEnd"/>
      <w:r w:rsidR="00DA241C" w:rsidRPr="00DA241C">
        <w:rPr>
          <w:smallCaps/>
        </w:rPr>
        <w:t>.</w:t>
      </w:r>
      <w:r w:rsidR="00DA241C">
        <w:t xml:space="preserve"> 293 (2020).</w:t>
      </w:r>
    </w:p>
  </w:footnote>
  <w:footnote w:id="3">
    <w:p w14:paraId="55EB5F4B" w14:textId="77777777" w:rsidR="009E52D1" w:rsidRPr="00D00DFE" w:rsidRDefault="009E52D1" w:rsidP="009E52D1">
      <w:pPr>
        <w:pStyle w:val="FootnoteText"/>
      </w:pPr>
      <w:r>
        <w:rPr>
          <w:rStyle w:val="FootnoteReference"/>
        </w:rPr>
        <w:footnoteRef/>
      </w:r>
      <w:r>
        <w:t xml:space="preserve"> </w:t>
      </w:r>
      <w:r>
        <w:rPr>
          <w:i/>
          <w:iCs/>
        </w:rPr>
        <w:t xml:space="preserve">See </w:t>
      </w:r>
      <w:r>
        <w:t>TRIPS, Art. 39.</w:t>
      </w:r>
    </w:p>
  </w:footnote>
  <w:footnote w:id="4">
    <w:p w14:paraId="7C2B89F2" w14:textId="60DC9ACF" w:rsidR="001A7ED7" w:rsidRDefault="001A7ED7">
      <w:pPr>
        <w:pStyle w:val="FootnoteText"/>
      </w:pPr>
      <w:r>
        <w:rPr>
          <w:rStyle w:val="FootnoteReference"/>
        </w:rPr>
        <w:footnoteRef/>
      </w:r>
      <w:r>
        <w:t xml:space="preserve"> Agreement on Trade-Related Aspects of Intellectual Property Rights</w:t>
      </w:r>
      <w:r w:rsidR="00D24412">
        <w:t xml:space="preserve"> (TRIPS)</w:t>
      </w:r>
      <w:r>
        <w:t>, Art</w:t>
      </w:r>
      <w:r w:rsidR="005F1EDA">
        <w:t>. 28(1).</w:t>
      </w:r>
      <w:r>
        <w:t xml:space="preserve"> </w:t>
      </w:r>
    </w:p>
  </w:footnote>
  <w:footnote w:id="5">
    <w:p w14:paraId="6C20D4E6" w14:textId="66754029" w:rsidR="00982D1F" w:rsidRPr="000330CE" w:rsidRDefault="00982D1F">
      <w:pPr>
        <w:pStyle w:val="FootnoteText"/>
      </w:pPr>
      <w:r>
        <w:rPr>
          <w:rStyle w:val="FootnoteReference"/>
        </w:rPr>
        <w:footnoteRef/>
      </w:r>
      <w:r>
        <w:t xml:space="preserve"> </w:t>
      </w:r>
      <w:r>
        <w:rPr>
          <w:i/>
          <w:iCs/>
        </w:rPr>
        <w:t xml:space="preserve">See </w:t>
      </w:r>
      <w:r>
        <w:t xml:space="preserve">Ana Santos Rutschman, </w:t>
      </w:r>
      <w:r w:rsidR="000330CE">
        <w:rPr>
          <w:i/>
          <w:iCs/>
        </w:rPr>
        <w:t xml:space="preserve">IP Preparedness for Outbreak Diseases, </w:t>
      </w:r>
      <w:r w:rsidR="000330CE">
        <w:t xml:space="preserve">65 </w:t>
      </w:r>
      <w:r w:rsidR="000330CE" w:rsidRPr="0013368C">
        <w:rPr>
          <w:smallCaps/>
        </w:rPr>
        <w:t>UCLA L. Rev.</w:t>
      </w:r>
      <w:r w:rsidR="000330CE">
        <w:t xml:space="preserve"> 1200</w:t>
      </w:r>
      <w:r w:rsidR="00D36E34">
        <w:t>, 1206</w:t>
      </w:r>
      <w:r w:rsidR="000330CE">
        <w:t xml:space="preserve"> (2018)</w:t>
      </w:r>
      <w:r w:rsidR="00A1397C">
        <w:t>.</w:t>
      </w:r>
    </w:p>
  </w:footnote>
  <w:footnote w:id="6">
    <w:p w14:paraId="78DB1882" w14:textId="5874E8B6" w:rsidR="00341CEE" w:rsidRDefault="00341CEE">
      <w:pPr>
        <w:pStyle w:val="FootnoteText"/>
      </w:pPr>
      <w:r>
        <w:rPr>
          <w:rStyle w:val="FootnoteReference"/>
        </w:rPr>
        <w:footnoteRef/>
      </w:r>
      <w:r>
        <w:t xml:space="preserve"> </w:t>
      </w:r>
      <w:r w:rsidRPr="00D74442">
        <w:rPr>
          <w:i/>
          <w:iCs/>
        </w:rPr>
        <w:t>See e.g.</w:t>
      </w:r>
      <w:r>
        <w:t xml:space="preserve"> </w:t>
      </w:r>
      <w:r w:rsidRPr="00341CEE">
        <w:t>Richard G. Frank</w:t>
      </w:r>
      <w:r>
        <w:t>,</w:t>
      </w:r>
      <w:r w:rsidRPr="00341CEE">
        <w:t xml:space="preserve"> Leslie </w:t>
      </w:r>
      <w:proofErr w:type="spellStart"/>
      <w:r w:rsidRPr="00341CEE">
        <w:t>Dach</w:t>
      </w:r>
      <w:proofErr w:type="spellEnd"/>
      <w:r w:rsidRPr="00341CEE">
        <w:t xml:space="preserve"> </w:t>
      </w:r>
      <w:r>
        <w:t>&amp;</w:t>
      </w:r>
      <w:r w:rsidRPr="00341CEE">
        <w:t xml:space="preserve"> Nicole Lurie</w:t>
      </w:r>
      <w:r>
        <w:t xml:space="preserve">, </w:t>
      </w:r>
      <w:r w:rsidR="008456F5" w:rsidRPr="001F79A2">
        <w:rPr>
          <w:i/>
          <w:iCs/>
        </w:rPr>
        <w:t>It Was The Government That Produced COVID-19 Vaccine Success</w:t>
      </w:r>
      <w:r w:rsidR="008456F5">
        <w:t xml:space="preserve">, </w:t>
      </w:r>
      <w:r w:rsidRPr="001F79A2">
        <w:rPr>
          <w:smallCaps/>
        </w:rPr>
        <w:t xml:space="preserve">Health </w:t>
      </w:r>
      <w:proofErr w:type="spellStart"/>
      <w:r w:rsidRPr="001F79A2">
        <w:rPr>
          <w:smallCaps/>
        </w:rPr>
        <w:t>Aff</w:t>
      </w:r>
      <w:proofErr w:type="spellEnd"/>
      <w:r w:rsidRPr="001F79A2">
        <w:rPr>
          <w:smallCaps/>
        </w:rPr>
        <w:t>. Forefront</w:t>
      </w:r>
      <w:r>
        <w:t xml:space="preserve"> (May 14, 2021), </w:t>
      </w:r>
      <w:r w:rsidRPr="00341CEE">
        <w:t>https://www.healthaffairs.org/do/10.1377/forefront.20210512.191448/</w:t>
      </w:r>
      <w:r w:rsidR="00CE4FD5">
        <w:t>.</w:t>
      </w:r>
    </w:p>
  </w:footnote>
  <w:footnote w:id="7">
    <w:p w14:paraId="56652F67" w14:textId="45964D31" w:rsidR="006B40BA" w:rsidRDefault="006B40BA">
      <w:pPr>
        <w:pStyle w:val="FootnoteText"/>
      </w:pPr>
      <w:r>
        <w:rPr>
          <w:rStyle w:val="FootnoteReference"/>
        </w:rPr>
        <w:footnoteRef/>
      </w:r>
      <w:r>
        <w:t xml:space="preserve"> </w:t>
      </w:r>
      <w:r w:rsidRPr="00D74442">
        <w:rPr>
          <w:i/>
          <w:iCs/>
        </w:rPr>
        <w:t>See generally</w:t>
      </w:r>
      <w:r>
        <w:t xml:space="preserve"> Sam F. </w:t>
      </w:r>
      <w:proofErr w:type="spellStart"/>
      <w:r>
        <w:t>Halabi</w:t>
      </w:r>
      <w:proofErr w:type="spellEnd"/>
      <w:r>
        <w:t xml:space="preserve"> &amp; Ana Santos Rutschman, </w:t>
      </w:r>
      <w:r w:rsidRPr="001F79A2">
        <w:rPr>
          <w:i/>
          <w:iCs/>
        </w:rPr>
        <w:t>Viral Sovereignty, Vaccine Diplomacy, and Vaccine Nationalism: The Institutions of Global Vaccine Access</w:t>
      </w:r>
      <w:r>
        <w:t xml:space="preserve">, </w:t>
      </w:r>
      <w:r w:rsidR="00852CDF">
        <w:t xml:space="preserve">__ </w:t>
      </w:r>
      <w:r w:rsidRPr="001F79A2">
        <w:rPr>
          <w:smallCaps/>
        </w:rPr>
        <w:t>Emory</w:t>
      </w:r>
      <w:r w:rsidR="00852CDF" w:rsidRPr="001F79A2">
        <w:rPr>
          <w:smallCaps/>
        </w:rPr>
        <w:t xml:space="preserve"> Int’l L. Rev.</w:t>
      </w:r>
      <w:r w:rsidR="00852CDF">
        <w:t xml:space="preserve"> __</w:t>
      </w:r>
      <w:r>
        <w:t xml:space="preserve"> (2022)</w:t>
      </w:r>
      <w:r w:rsidR="00767017">
        <w:t>.</w:t>
      </w:r>
    </w:p>
  </w:footnote>
  <w:footnote w:id="8">
    <w:p w14:paraId="04A74721" w14:textId="482FB11E" w:rsidR="0014690C" w:rsidRPr="0014690C" w:rsidRDefault="0014690C">
      <w:pPr>
        <w:pStyle w:val="FootnoteText"/>
      </w:pPr>
      <w:r>
        <w:rPr>
          <w:rStyle w:val="FootnoteReference"/>
        </w:rPr>
        <w:footnoteRef/>
      </w:r>
      <w:r>
        <w:t xml:space="preserve"> </w:t>
      </w:r>
      <w:r>
        <w:rPr>
          <w:i/>
          <w:iCs/>
        </w:rPr>
        <w:t xml:space="preserve">See </w:t>
      </w:r>
      <w:r w:rsidR="00767017" w:rsidRPr="005644DC">
        <w:t>David Brown</w:t>
      </w:r>
      <w:r w:rsidR="00767017">
        <w:rPr>
          <w:i/>
          <w:iCs/>
        </w:rPr>
        <w:t xml:space="preserve">, </w:t>
      </w:r>
      <w:r w:rsidR="00767017" w:rsidRPr="00767017">
        <w:rPr>
          <w:i/>
          <w:iCs/>
        </w:rPr>
        <w:t>U.S. to Donate 10 Percent of Swine Flu Vaccine to WHO</w:t>
      </w:r>
      <w:r w:rsidR="00767017">
        <w:rPr>
          <w:i/>
          <w:iCs/>
        </w:rPr>
        <w:t>,</w:t>
      </w:r>
      <w:r w:rsidR="00767017">
        <w:t xml:space="preserve"> </w:t>
      </w:r>
      <w:r w:rsidR="00767017" w:rsidRPr="0023326D">
        <w:rPr>
          <w:smallCaps/>
        </w:rPr>
        <w:t>Wash. Post</w:t>
      </w:r>
      <w:r w:rsidR="00767017">
        <w:t xml:space="preserve"> (</w:t>
      </w:r>
      <w:r w:rsidR="0047424C">
        <w:t>Sept. 18, 2009</w:t>
      </w:r>
      <w:r w:rsidR="00767017">
        <w:t>)</w:t>
      </w:r>
      <w:r w:rsidR="0047424C">
        <w:t xml:space="preserve">; </w:t>
      </w:r>
      <w:proofErr w:type="spellStart"/>
      <w:r w:rsidR="0047424C">
        <w:t>Halabi</w:t>
      </w:r>
      <w:proofErr w:type="spellEnd"/>
      <w:r w:rsidR="0047424C">
        <w:t xml:space="preserve"> &amp; </w:t>
      </w:r>
      <w:proofErr w:type="spellStart"/>
      <w:r w:rsidR="0047424C">
        <w:t>Rutschman</w:t>
      </w:r>
      <w:proofErr w:type="spellEnd"/>
      <w:r w:rsidR="0047424C">
        <w:t xml:space="preserve">, </w:t>
      </w:r>
      <w:r w:rsidR="0047424C" w:rsidRPr="005644DC">
        <w:rPr>
          <w:i/>
          <w:iCs/>
        </w:rPr>
        <w:t>supra</w:t>
      </w:r>
      <w:r w:rsidR="0047424C">
        <w:t xml:space="preserve"> note </w:t>
      </w:r>
      <w:r w:rsidR="00FA7329">
        <w:t>7</w:t>
      </w:r>
      <w:r w:rsidR="0047424C">
        <w:t>, at __</w:t>
      </w:r>
      <w:r w:rsidR="00C534D9">
        <w:t xml:space="preserve"> (describing these phenomena during the 2009 swine flu pandemic); Olivia Goldhill, </w:t>
      </w:r>
      <w:r w:rsidR="00C534D9">
        <w:rPr>
          <w:i/>
          <w:iCs/>
        </w:rPr>
        <w:t xml:space="preserve">We have enough Covid </w:t>
      </w:r>
      <w:r w:rsidR="0013368C">
        <w:rPr>
          <w:i/>
          <w:iCs/>
        </w:rPr>
        <w:t>V</w:t>
      </w:r>
      <w:r w:rsidR="00C534D9">
        <w:rPr>
          <w:i/>
          <w:iCs/>
        </w:rPr>
        <w:t xml:space="preserve">accines for </w:t>
      </w:r>
      <w:r w:rsidR="0013368C">
        <w:rPr>
          <w:i/>
          <w:iCs/>
        </w:rPr>
        <w:t>M</w:t>
      </w:r>
      <w:r w:rsidR="00C534D9">
        <w:rPr>
          <w:i/>
          <w:iCs/>
        </w:rPr>
        <w:t xml:space="preserve">ost of the </w:t>
      </w:r>
      <w:r w:rsidR="0013368C">
        <w:rPr>
          <w:i/>
          <w:iCs/>
        </w:rPr>
        <w:t>W</w:t>
      </w:r>
      <w:r w:rsidR="00C534D9">
        <w:rPr>
          <w:i/>
          <w:iCs/>
        </w:rPr>
        <w:t xml:space="preserve">orld. But </w:t>
      </w:r>
      <w:r w:rsidR="0013368C">
        <w:rPr>
          <w:i/>
          <w:iCs/>
        </w:rPr>
        <w:t>R</w:t>
      </w:r>
      <w:r w:rsidR="00C534D9">
        <w:rPr>
          <w:i/>
          <w:iCs/>
        </w:rPr>
        <w:t xml:space="preserve">ich </w:t>
      </w:r>
      <w:r w:rsidR="0013368C">
        <w:rPr>
          <w:i/>
          <w:iCs/>
        </w:rPr>
        <w:t>C</w:t>
      </w:r>
      <w:r w:rsidR="00C534D9">
        <w:rPr>
          <w:i/>
          <w:iCs/>
        </w:rPr>
        <w:t xml:space="preserve">ountries are </w:t>
      </w:r>
      <w:r w:rsidR="0013368C">
        <w:rPr>
          <w:i/>
          <w:iCs/>
        </w:rPr>
        <w:t>S</w:t>
      </w:r>
      <w:r w:rsidR="00C534D9">
        <w:rPr>
          <w:i/>
          <w:iCs/>
        </w:rPr>
        <w:t xml:space="preserve">tockpiling </w:t>
      </w:r>
      <w:r w:rsidR="0013368C">
        <w:rPr>
          <w:i/>
          <w:iCs/>
        </w:rPr>
        <w:t>M</w:t>
      </w:r>
      <w:r w:rsidR="00C534D9">
        <w:rPr>
          <w:i/>
          <w:iCs/>
        </w:rPr>
        <w:t xml:space="preserve">ore </w:t>
      </w:r>
      <w:r w:rsidR="0013368C">
        <w:rPr>
          <w:i/>
          <w:iCs/>
        </w:rPr>
        <w:t>T</w:t>
      </w:r>
      <w:r w:rsidR="00C534D9">
        <w:rPr>
          <w:i/>
          <w:iCs/>
        </w:rPr>
        <w:t xml:space="preserve">han </w:t>
      </w:r>
      <w:r w:rsidR="0013368C">
        <w:rPr>
          <w:i/>
          <w:iCs/>
        </w:rPr>
        <w:t>T</w:t>
      </w:r>
      <w:r w:rsidR="00C534D9">
        <w:rPr>
          <w:i/>
          <w:iCs/>
        </w:rPr>
        <w:t xml:space="preserve">hey </w:t>
      </w:r>
      <w:r w:rsidR="0013368C">
        <w:rPr>
          <w:i/>
          <w:iCs/>
        </w:rPr>
        <w:t>N</w:t>
      </w:r>
      <w:r w:rsidR="00C534D9">
        <w:rPr>
          <w:i/>
          <w:iCs/>
        </w:rPr>
        <w:t xml:space="preserve">eed for </w:t>
      </w:r>
      <w:r w:rsidR="0013368C">
        <w:rPr>
          <w:i/>
          <w:iCs/>
        </w:rPr>
        <w:t>B</w:t>
      </w:r>
      <w:r w:rsidR="00C534D9">
        <w:rPr>
          <w:i/>
          <w:iCs/>
        </w:rPr>
        <w:t>oosters</w:t>
      </w:r>
      <w:r w:rsidR="00C534D9">
        <w:t xml:space="preserve">, STAT (Dec. 13, 2021), </w:t>
      </w:r>
      <w:r w:rsidR="009734B0" w:rsidRPr="005D1D71">
        <w:t>https://www.statnews.com/2021/12/13/we-have-enough-covid-vaccines-for-most-of-world-but-rich-countries-stockpiling-more-than-they-need/</w:t>
      </w:r>
      <w:r w:rsidR="00C534D9">
        <w:t xml:space="preserve">; Jon Cohen &amp; Kai </w:t>
      </w:r>
      <w:proofErr w:type="spellStart"/>
      <w:r w:rsidR="00C534D9">
        <w:t>Kupferschmidt</w:t>
      </w:r>
      <w:proofErr w:type="spellEnd"/>
      <w:r w:rsidR="00C534D9">
        <w:t xml:space="preserve">, </w:t>
      </w:r>
      <w:r w:rsidR="00C534D9">
        <w:rPr>
          <w:i/>
          <w:iCs/>
        </w:rPr>
        <w:t>Fairer Shares</w:t>
      </w:r>
      <w:r w:rsidR="00C534D9">
        <w:t xml:space="preserve">, </w:t>
      </w:r>
      <w:r w:rsidR="00C534D9" w:rsidRPr="0059452F">
        <w:rPr>
          <w:smallCaps/>
        </w:rPr>
        <w:t>Science</w:t>
      </w:r>
      <w:r w:rsidR="00C534D9">
        <w:t xml:space="preserve"> (May 26, 2021), </w:t>
      </w:r>
      <w:r w:rsidR="009734B0" w:rsidRPr="005D1D71">
        <w:t>https://www.science.org/content/article/rich-countries-cornered-covid-19-vaccine-doses-four-strategies-right-scandalous</w:t>
      </w:r>
      <w:r w:rsidR="00C534D9">
        <w:t xml:space="preserve"> (describing these phenomena during COVID-19).</w:t>
      </w:r>
    </w:p>
  </w:footnote>
  <w:footnote w:id="9">
    <w:p w14:paraId="211CEB1D" w14:textId="1CB069E6" w:rsidR="00CE799D" w:rsidRPr="00C534D9" w:rsidRDefault="00CE799D">
      <w:pPr>
        <w:pStyle w:val="FootnoteText"/>
      </w:pPr>
      <w:r>
        <w:rPr>
          <w:rStyle w:val="FootnoteReference"/>
        </w:rPr>
        <w:footnoteRef/>
      </w:r>
      <w:r>
        <w:t xml:space="preserve"> </w:t>
      </w:r>
      <w:r w:rsidR="00C534D9" w:rsidRPr="005644DC">
        <w:t xml:space="preserve">Brown, </w:t>
      </w:r>
      <w:r w:rsidR="00C534D9">
        <w:rPr>
          <w:i/>
          <w:iCs/>
        </w:rPr>
        <w:t xml:space="preserve">supra </w:t>
      </w:r>
      <w:r w:rsidR="00C534D9" w:rsidRPr="005644DC">
        <w:t xml:space="preserve">note </w:t>
      </w:r>
      <w:r w:rsidR="00C534D9" w:rsidRPr="005644DC">
        <w:fldChar w:fldCharType="begin"/>
      </w:r>
      <w:r w:rsidR="00C534D9" w:rsidRPr="005644DC">
        <w:instrText xml:space="preserve"> NOTEREF _Ref101250435 \h </w:instrText>
      </w:r>
      <w:r w:rsidR="00C534D9">
        <w:instrText xml:space="preserve"> \* MERGEFORMAT </w:instrText>
      </w:r>
      <w:r w:rsidR="00C534D9" w:rsidRPr="005644DC">
        <w:fldChar w:fldCharType="separate"/>
      </w:r>
      <w:r w:rsidR="00C534D9" w:rsidRPr="005644DC">
        <w:t>7</w:t>
      </w:r>
      <w:r w:rsidR="00C534D9" w:rsidRPr="005644DC">
        <w:fldChar w:fldCharType="end"/>
      </w:r>
      <w:r w:rsidR="00C534D9" w:rsidRPr="005644DC">
        <w:t>.</w:t>
      </w:r>
    </w:p>
  </w:footnote>
  <w:footnote w:id="10">
    <w:p w14:paraId="0799D74E" w14:textId="221B1A5F" w:rsidR="00091A1A" w:rsidRDefault="00091A1A">
      <w:pPr>
        <w:pStyle w:val="FootnoteText"/>
      </w:pPr>
      <w:r>
        <w:rPr>
          <w:rStyle w:val="FootnoteReference"/>
        </w:rPr>
        <w:footnoteRef/>
      </w:r>
      <w:r>
        <w:t xml:space="preserve"> </w:t>
      </w:r>
      <w:r w:rsidR="00F7585A" w:rsidRPr="00FA75DB">
        <w:rPr>
          <w:i/>
          <w:iCs/>
        </w:rPr>
        <w:t>See</w:t>
      </w:r>
      <w:r w:rsidR="00F7585A">
        <w:t xml:space="preserve"> </w:t>
      </w:r>
      <w:proofErr w:type="spellStart"/>
      <w:r w:rsidR="00F7585A">
        <w:t>Halabi</w:t>
      </w:r>
      <w:proofErr w:type="spellEnd"/>
      <w:r w:rsidR="00F7585A">
        <w:t xml:space="preserve"> &amp; </w:t>
      </w:r>
      <w:proofErr w:type="spellStart"/>
      <w:r w:rsidR="00F7585A">
        <w:t>Rutschman</w:t>
      </w:r>
      <w:proofErr w:type="spellEnd"/>
      <w:r w:rsidR="00F7585A">
        <w:t xml:space="preserve">, </w:t>
      </w:r>
      <w:r w:rsidR="00F7585A" w:rsidRPr="00583F3C">
        <w:rPr>
          <w:i/>
          <w:iCs/>
        </w:rPr>
        <w:t>supra</w:t>
      </w:r>
      <w:r w:rsidR="00F7585A">
        <w:t xml:space="preserve"> note </w:t>
      </w:r>
      <w:r w:rsidR="00FA7329">
        <w:t>7</w:t>
      </w:r>
      <w:r w:rsidR="00F7585A">
        <w:t xml:space="preserve">. </w:t>
      </w:r>
      <w:r w:rsidR="00F7585A" w:rsidRPr="008F1794">
        <w:rPr>
          <w:i/>
          <w:iCs/>
        </w:rPr>
        <w:t>See also</w:t>
      </w:r>
      <w:r w:rsidR="00F7585A">
        <w:t xml:space="preserve"> </w:t>
      </w:r>
      <w:r w:rsidR="0081184B">
        <w:t xml:space="preserve">Sui-Lee Wee &amp; Steven Lee Myers, </w:t>
      </w:r>
      <w:r w:rsidR="0081184B">
        <w:rPr>
          <w:i/>
          <w:iCs/>
        </w:rPr>
        <w:t>As Chinese Vaccines Stumble, U.S. Finds New Opening in Asia</w:t>
      </w:r>
      <w:r w:rsidR="0081184B">
        <w:t xml:space="preserve">, </w:t>
      </w:r>
      <w:r w:rsidR="00092474">
        <w:rPr>
          <w:smallCaps/>
        </w:rPr>
        <w:t xml:space="preserve">NY Times </w:t>
      </w:r>
      <w:r w:rsidR="0081184B">
        <w:t>(Sept. 30, 2021)</w:t>
      </w:r>
      <w:r w:rsidR="00BD49DC">
        <w:t>,</w:t>
      </w:r>
      <w:r w:rsidR="00272F5F">
        <w:t xml:space="preserve"> </w:t>
      </w:r>
      <w:r w:rsidR="009734B0" w:rsidRPr="005D1D71">
        <w:t>https://www.nytimes.com/2021/08/20/business/economy/china-vaccine-us-covid-diplomacy.html</w:t>
      </w:r>
      <w:r w:rsidR="00F7585A">
        <w:t xml:space="preserve">; </w:t>
      </w:r>
      <w:r w:rsidR="00F7585A" w:rsidRPr="00F7585A">
        <w:t xml:space="preserve">Peter </w:t>
      </w:r>
      <w:proofErr w:type="spellStart"/>
      <w:r w:rsidR="00F7585A" w:rsidRPr="00F7585A">
        <w:t>Hotez</w:t>
      </w:r>
      <w:proofErr w:type="spellEnd"/>
      <w:r w:rsidR="00F7585A" w:rsidRPr="00F7585A">
        <w:t>, Preventing the Next Pandemic: Vaccine Diplomacy in a Time of Anti-</w:t>
      </w:r>
      <w:r w:rsidR="00F7585A">
        <w:t>S</w:t>
      </w:r>
      <w:r w:rsidR="00F7585A" w:rsidRPr="00F7585A">
        <w:t>cience</w:t>
      </w:r>
      <w:r w:rsidR="00F7585A">
        <w:t xml:space="preserve"> (Johns Hopkins, 2021).</w:t>
      </w:r>
    </w:p>
  </w:footnote>
  <w:footnote w:id="11">
    <w:p w14:paraId="70C26862" w14:textId="127CB6F7" w:rsidR="00566DC9" w:rsidRDefault="00566DC9">
      <w:pPr>
        <w:pStyle w:val="FootnoteText"/>
      </w:pPr>
      <w:r>
        <w:rPr>
          <w:rStyle w:val="FootnoteReference"/>
        </w:rPr>
        <w:footnoteRef/>
      </w:r>
      <w:r>
        <w:t xml:space="preserve"> </w:t>
      </w:r>
      <w:r w:rsidRPr="00583F3C">
        <w:t xml:space="preserve">Brown, </w:t>
      </w:r>
      <w:r>
        <w:rPr>
          <w:i/>
          <w:iCs/>
        </w:rPr>
        <w:t xml:space="preserve">supra </w:t>
      </w:r>
      <w:r w:rsidRPr="00583F3C">
        <w:t xml:space="preserve">note </w:t>
      </w:r>
      <w:r w:rsidRPr="00583F3C">
        <w:fldChar w:fldCharType="begin"/>
      </w:r>
      <w:r w:rsidRPr="00583F3C">
        <w:instrText xml:space="preserve"> NOTEREF _Ref101250435 \h </w:instrText>
      </w:r>
      <w:r>
        <w:instrText xml:space="preserve"> \* MERGEFORMAT </w:instrText>
      </w:r>
      <w:r w:rsidRPr="00583F3C">
        <w:fldChar w:fldCharType="separate"/>
      </w:r>
      <w:r w:rsidRPr="00583F3C">
        <w:t>7</w:t>
      </w:r>
      <w:r w:rsidRPr="00583F3C">
        <w:fldChar w:fldCharType="end"/>
      </w:r>
      <w:r w:rsidRPr="00583F3C">
        <w:t>.</w:t>
      </w:r>
    </w:p>
  </w:footnote>
  <w:footnote w:id="12">
    <w:p w14:paraId="6D726C02" w14:textId="7723D92D" w:rsidR="00852CDF" w:rsidRDefault="00852CDF">
      <w:pPr>
        <w:pStyle w:val="FootnoteText"/>
      </w:pPr>
      <w:r>
        <w:rPr>
          <w:rStyle w:val="FootnoteReference"/>
        </w:rPr>
        <w:footnoteRef/>
      </w:r>
      <w:r>
        <w:t xml:space="preserve"> </w:t>
      </w:r>
      <w:r w:rsidRPr="00D74442">
        <w:rPr>
          <w:i/>
          <w:iCs/>
        </w:rPr>
        <w:t>See</w:t>
      </w:r>
      <w:r>
        <w:t xml:space="preserve"> Ana Santos Rutschman, </w:t>
      </w:r>
      <w:r w:rsidRPr="00852CDF">
        <w:rPr>
          <w:i/>
          <w:iCs/>
        </w:rPr>
        <w:t>The Reemergence of Vaccine Nationalism</w:t>
      </w:r>
      <w:r>
        <w:t xml:space="preserve">, </w:t>
      </w:r>
      <w:r>
        <w:rPr>
          <w:smallCaps/>
        </w:rPr>
        <w:t>Geo.</w:t>
      </w:r>
      <w:r w:rsidRPr="005B7D3D">
        <w:rPr>
          <w:smallCaps/>
        </w:rPr>
        <w:t xml:space="preserve"> </w:t>
      </w:r>
      <w:r>
        <w:rPr>
          <w:smallCaps/>
        </w:rPr>
        <w:t xml:space="preserve">J. </w:t>
      </w:r>
      <w:r w:rsidRPr="005B7D3D">
        <w:rPr>
          <w:smallCaps/>
        </w:rPr>
        <w:t xml:space="preserve">Int’l </w:t>
      </w:r>
      <w:proofErr w:type="spellStart"/>
      <w:r>
        <w:rPr>
          <w:smallCaps/>
        </w:rPr>
        <w:t>Aff</w:t>
      </w:r>
      <w:proofErr w:type="spellEnd"/>
      <w:r>
        <w:rPr>
          <w:smallCaps/>
        </w:rPr>
        <w:t>. Online</w:t>
      </w:r>
      <w:r>
        <w:t xml:space="preserve"> (</w:t>
      </w:r>
      <w:r w:rsidR="00D70C97">
        <w:t xml:space="preserve">Jul. 3, </w:t>
      </w:r>
      <w:r>
        <w:t>2020)</w:t>
      </w:r>
      <w:r w:rsidR="0071115F">
        <w:t xml:space="preserve">, </w:t>
      </w:r>
      <w:r w:rsidR="0071115F" w:rsidRPr="0071115F">
        <w:t>https://gjia.georgetown.edu/2020/07/03/the-reemergence-of-vaccine-nationalism/</w:t>
      </w:r>
      <w:r>
        <w:t>.</w:t>
      </w:r>
    </w:p>
  </w:footnote>
  <w:footnote w:id="13">
    <w:p w14:paraId="397C106B" w14:textId="6EE13994" w:rsidR="003A37A0" w:rsidRDefault="003A37A0">
      <w:pPr>
        <w:pStyle w:val="FootnoteText"/>
      </w:pPr>
      <w:r>
        <w:rPr>
          <w:rStyle w:val="FootnoteReference"/>
        </w:rPr>
        <w:footnoteRef/>
      </w:r>
      <w:r>
        <w:t xml:space="preserve"> </w:t>
      </w:r>
      <w:r w:rsidRPr="00D74442">
        <w:rPr>
          <w:i/>
          <w:iCs/>
        </w:rPr>
        <w:t>See e.g</w:t>
      </w:r>
      <w:r>
        <w:t xml:space="preserve">. </w:t>
      </w:r>
      <w:proofErr w:type="spellStart"/>
      <w:r>
        <w:t>Nat’l</w:t>
      </w:r>
      <w:proofErr w:type="spellEnd"/>
      <w:r>
        <w:t xml:space="preserve"> Pub. Radio, </w:t>
      </w:r>
      <w:r w:rsidRPr="005C7BD8">
        <w:rPr>
          <w:i/>
          <w:iCs/>
        </w:rPr>
        <w:t>U.S. Won't Join WHO-Led Coronavirus Vaccine Effort, White House Says</w:t>
      </w:r>
      <w:r>
        <w:t xml:space="preserve"> (Sept. 2, 2020), </w:t>
      </w:r>
      <w:r w:rsidRPr="003A37A0">
        <w:t>https://www.npr.org/sections/coronavirus-live-updates/2020/09/02/908711419/u-s-wont-join-who-led-coronavirus-vaccine-effort-white-house-says</w:t>
      </w:r>
      <w:r w:rsidR="00CE4FD5">
        <w:t>.</w:t>
      </w:r>
    </w:p>
  </w:footnote>
  <w:footnote w:id="14">
    <w:p w14:paraId="06AE94F4" w14:textId="1B6BD973" w:rsidR="00CD67DD" w:rsidRPr="00CD67DD" w:rsidRDefault="00CD67DD">
      <w:pPr>
        <w:pStyle w:val="FootnoteText"/>
      </w:pPr>
      <w:r>
        <w:rPr>
          <w:rStyle w:val="FootnoteReference"/>
        </w:rPr>
        <w:footnoteRef/>
      </w:r>
      <w:r>
        <w:t xml:space="preserve"> </w:t>
      </w:r>
      <w:r>
        <w:rPr>
          <w:i/>
          <w:iCs/>
        </w:rPr>
        <w:t xml:space="preserve">See </w:t>
      </w:r>
      <w:r w:rsidR="00B22C8B">
        <w:t xml:space="preserve">Sapna Kumar, </w:t>
      </w:r>
      <w:r w:rsidR="00B22C8B">
        <w:rPr>
          <w:i/>
          <w:iCs/>
        </w:rPr>
        <w:t>Compulsory Licensing of Patents During Pandemics</w:t>
      </w:r>
      <w:r w:rsidR="00B22C8B">
        <w:t xml:space="preserve">, 54 </w:t>
      </w:r>
      <w:r w:rsidR="00B22C8B" w:rsidRPr="005C7BD8">
        <w:rPr>
          <w:smallCaps/>
        </w:rPr>
        <w:t xml:space="preserve">Conn. L. Rev. </w:t>
      </w:r>
      <w:r w:rsidR="00B22C8B">
        <w:t>57, 93–94 (2022).</w:t>
      </w:r>
    </w:p>
  </w:footnote>
  <w:footnote w:id="15">
    <w:p w14:paraId="153B5E16" w14:textId="29D520AF" w:rsidR="00125AE0" w:rsidRDefault="00125AE0">
      <w:pPr>
        <w:pStyle w:val="FootnoteText"/>
      </w:pPr>
      <w:r>
        <w:rPr>
          <w:rStyle w:val="FootnoteReference"/>
        </w:rPr>
        <w:footnoteRef/>
      </w:r>
      <w:r>
        <w:t xml:space="preserve"> </w:t>
      </w:r>
      <w:proofErr w:type="spellStart"/>
      <w:r>
        <w:t>Nurtih</w:t>
      </w:r>
      <w:proofErr w:type="spellEnd"/>
      <w:r>
        <w:t xml:space="preserve"> </w:t>
      </w:r>
      <w:proofErr w:type="spellStart"/>
      <w:r>
        <w:t>Aizenman</w:t>
      </w:r>
      <w:proofErr w:type="spellEnd"/>
      <w:r>
        <w:t xml:space="preserve">, </w:t>
      </w:r>
      <w:r>
        <w:rPr>
          <w:i/>
          <w:iCs/>
        </w:rPr>
        <w:t>Why Low-income Countries are so Short on COVID-Vaccines</w:t>
      </w:r>
      <w:r>
        <w:t xml:space="preserve">, NPR (Nov. 10, 2021), </w:t>
      </w:r>
      <w:r w:rsidRPr="00125AE0">
        <w:t>https://www.npr.org/sections/goatsandsoda/2021/11/10/1052078529/why-low-income-countries-are-so-short-on-covid-vaccines-hint-its-not-boosters</w:t>
      </w:r>
      <w:r w:rsidR="00CE4FD5">
        <w:t>.</w:t>
      </w:r>
    </w:p>
  </w:footnote>
  <w:footnote w:id="16">
    <w:p w14:paraId="51706A14" w14:textId="752843F2" w:rsidR="00701AD4" w:rsidRDefault="00701AD4">
      <w:pPr>
        <w:pStyle w:val="FootnoteText"/>
      </w:pPr>
      <w:r>
        <w:rPr>
          <w:rStyle w:val="FootnoteReference"/>
        </w:rPr>
        <w:footnoteRef/>
      </w:r>
      <w:r>
        <w:t xml:space="preserve"> </w:t>
      </w:r>
      <w:r w:rsidRPr="00D74442">
        <w:rPr>
          <w:i/>
          <w:iCs/>
        </w:rPr>
        <w:t>See e.g.</w:t>
      </w:r>
      <w:r>
        <w:t xml:space="preserve"> Olivia Goldhill, </w:t>
      </w:r>
      <w:r w:rsidRPr="001F79A2">
        <w:rPr>
          <w:i/>
          <w:iCs/>
        </w:rPr>
        <w:t xml:space="preserve">‘Naively </w:t>
      </w:r>
      <w:r w:rsidR="002267CA" w:rsidRPr="002267CA">
        <w:rPr>
          <w:i/>
          <w:iCs/>
        </w:rPr>
        <w:t>Ambitious’</w:t>
      </w:r>
      <w:r w:rsidRPr="001F79A2">
        <w:rPr>
          <w:i/>
          <w:iCs/>
        </w:rPr>
        <w:t xml:space="preserve">: How COVAX </w:t>
      </w:r>
      <w:r w:rsidR="002267CA" w:rsidRPr="002267CA">
        <w:rPr>
          <w:i/>
          <w:iCs/>
        </w:rPr>
        <w:t xml:space="preserve">Failed </w:t>
      </w:r>
      <w:r w:rsidRPr="001F79A2">
        <w:rPr>
          <w:i/>
          <w:iCs/>
        </w:rPr>
        <w:t xml:space="preserve">on its </w:t>
      </w:r>
      <w:r w:rsidR="002267CA" w:rsidRPr="002267CA">
        <w:rPr>
          <w:i/>
          <w:iCs/>
        </w:rPr>
        <w:t xml:space="preserve">Promise </w:t>
      </w:r>
      <w:r w:rsidRPr="001F79A2">
        <w:rPr>
          <w:i/>
          <w:iCs/>
        </w:rPr>
        <w:t xml:space="preserve">to </w:t>
      </w:r>
      <w:r w:rsidR="002267CA" w:rsidRPr="002267CA">
        <w:rPr>
          <w:i/>
          <w:iCs/>
        </w:rPr>
        <w:t xml:space="preserve">Vaccinate </w:t>
      </w:r>
      <w:r w:rsidRPr="001F79A2">
        <w:rPr>
          <w:i/>
          <w:iCs/>
        </w:rPr>
        <w:t xml:space="preserve">the </w:t>
      </w:r>
      <w:r w:rsidR="002267CA" w:rsidRPr="002267CA">
        <w:rPr>
          <w:i/>
          <w:iCs/>
        </w:rPr>
        <w:t>World</w:t>
      </w:r>
      <w:r>
        <w:t xml:space="preserve">, Stat (Oct. 8, 2021), </w:t>
      </w:r>
      <w:r w:rsidRPr="00701AD4">
        <w:t>https://www.statnews.com/2021/10/08/how-covax-failed-on-its-promise-to-vaccinate-the-world/</w:t>
      </w:r>
      <w:r>
        <w:t xml:space="preserve"> </w:t>
      </w:r>
    </w:p>
  </w:footnote>
  <w:footnote w:id="17">
    <w:p w14:paraId="783070AF" w14:textId="77777777" w:rsidR="002B3D90" w:rsidRPr="00B85F74" w:rsidRDefault="002B3D90" w:rsidP="002B3D90">
      <w:pPr>
        <w:pStyle w:val="FootnoteText"/>
      </w:pPr>
      <w:r>
        <w:rPr>
          <w:rStyle w:val="FootnoteReference"/>
        </w:rPr>
        <w:footnoteRef/>
      </w:r>
      <w:r>
        <w:t xml:space="preserve"> Francesco </w:t>
      </w:r>
      <w:proofErr w:type="spellStart"/>
      <w:r>
        <w:t>Guarascio</w:t>
      </w:r>
      <w:proofErr w:type="spellEnd"/>
      <w:r>
        <w:t xml:space="preserve">, </w:t>
      </w:r>
      <w:r>
        <w:rPr>
          <w:i/>
          <w:iCs/>
        </w:rPr>
        <w:t xml:space="preserve">Poorer Nations Reject over 100 </w:t>
      </w:r>
      <w:proofErr w:type="spellStart"/>
      <w:r>
        <w:rPr>
          <w:i/>
          <w:iCs/>
        </w:rPr>
        <w:t>mln</w:t>
      </w:r>
      <w:proofErr w:type="spellEnd"/>
      <w:r>
        <w:rPr>
          <w:i/>
          <w:iCs/>
        </w:rPr>
        <w:t xml:space="preserve"> COVID-19 Vaccine Doses as Many Near Expiry</w:t>
      </w:r>
      <w:r>
        <w:t xml:space="preserve">, Reuters (Jan. 14, 2022), </w:t>
      </w:r>
      <w:r w:rsidRPr="00B85F74">
        <w:t>https://www.reuters.com/business/healthcare-pharmaceuticals/more-than-100-million-covid-19-vaccines-rejected-by-poorer-nations-dec-unicef-2022-01-13/</w:t>
      </w:r>
      <w:r>
        <w:t>.</w:t>
      </w:r>
    </w:p>
  </w:footnote>
  <w:footnote w:id="18">
    <w:p w14:paraId="2A09391C" w14:textId="5DD9E076" w:rsidR="009447FC" w:rsidRDefault="009447FC">
      <w:pPr>
        <w:pStyle w:val="FootnoteText"/>
      </w:pPr>
      <w:r>
        <w:rPr>
          <w:rStyle w:val="FootnoteReference"/>
        </w:rPr>
        <w:footnoteRef/>
      </w:r>
      <w:r>
        <w:t xml:space="preserve"> </w:t>
      </w:r>
      <w:r w:rsidRPr="00486D4B">
        <w:rPr>
          <w:i/>
          <w:iCs/>
        </w:rPr>
        <w:t>See e.g</w:t>
      </w:r>
      <w:r>
        <w:t xml:space="preserve">. </w:t>
      </w:r>
      <w:r w:rsidRPr="009447FC">
        <w:t>Stephanie Findlay</w:t>
      </w:r>
      <w:r>
        <w:t xml:space="preserve">, </w:t>
      </w:r>
      <w:r w:rsidRPr="009447FC">
        <w:t xml:space="preserve">Michael Peel </w:t>
      </w:r>
      <w:r>
        <w:t xml:space="preserve">&amp; </w:t>
      </w:r>
      <w:r w:rsidRPr="009447FC">
        <w:t>Donato Paolo Mancini</w:t>
      </w:r>
      <w:r>
        <w:t xml:space="preserve">, </w:t>
      </w:r>
      <w:r w:rsidRPr="001F79A2">
        <w:rPr>
          <w:i/>
          <w:iCs/>
        </w:rPr>
        <w:t>India Blocks Vaccine Exports in Blow to Dozens of Nations,</w:t>
      </w:r>
      <w:r>
        <w:t xml:space="preserve"> Financial Times (Mar. 25, 2021), </w:t>
      </w:r>
      <w:r w:rsidR="00B474D4" w:rsidRPr="00861F57">
        <w:t>https://www.ft.com/content/5349389c-8313-41e0-9a67-58274e24a019</w:t>
      </w:r>
      <w:r w:rsidR="006B2472">
        <w:t xml:space="preserve">; Reuters, </w:t>
      </w:r>
      <w:r w:rsidR="006B2472" w:rsidRPr="001F79A2">
        <w:rPr>
          <w:i/>
          <w:iCs/>
        </w:rPr>
        <w:t xml:space="preserve">India </w:t>
      </w:r>
      <w:r w:rsidR="006B2472" w:rsidRPr="006B2472">
        <w:rPr>
          <w:i/>
          <w:iCs/>
        </w:rPr>
        <w:t xml:space="preserve">Resumes Coronavirus Vaccine Exports </w:t>
      </w:r>
      <w:r w:rsidR="006B2472" w:rsidRPr="001F79A2">
        <w:rPr>
          <w:i/>
          <w:iCs/>
        </w:rPr>
        <w:t>to COVAX</w:t>
      </w:r>
      <w:r w:rsidR="006B2472">
        <w:t xml:space="preserve"> (Nov. 26, 2021), </w:t>
      </w:r>
      <w:r w:rsidR="006B2472" w:rsidRPr="006B2472">
        <w:t>https://www.reuters.com/world/india/indias-serum-institute-resumes-covishield-vaccine-exports-under-covax-facility-2021-11-26/</w:t>
      </w:r>
      <w:r w:rsidR="00CE4FD5">
        <w:t>.</w:t>
      </w:r>
    </w:p>
  </w:footnote>
  <w:footnote w:id="19">
    <w:p w14:paraId="755FE01C" w14:textId="24D81774" w:rsidR="002B3D90" w:rsidRDefault="002B3D90" w:rsidP="002B3D90">
      <w:pPr>
        <w:pStyle w:val="FootnoteText"/>
      </w:pPr>
      <w:r>
        <w:rPr>
          <w:rStyle w:val="FootnoteReference"/>
        </w:rPr>
        <w:footnoteRef/>
      </w:r>
      <w:r>
        <w:t xml:space="preserve"> </w:t>
      </w:r>
      <w:r w:rsidR="0061255B" w:rsidRPr="00486D4B">
        <w:rPr>
          <w:i/>
          <w:iCs/>
        </w:rPr>
        <w:t>See</w:t>
      </w:r>
      <w:r w:rsidR="0061255B">
        <w:t xml:space="preserve"> </w:t>
      </w:r>
      <w:r>
        <w:t xml:space="preserve">Olivia Goldhill, </w:t>
      </w:r>
      <w:r>
        <w:rPr>
          <w:i/>
          <w:iCs/>
        </w:rPr>
        <w:t>‘Naively Ambitious’: How COVAX Failed on its Promise to Vaccinate the World</w:t>
      </w:r>
      <w:r>
        <w:t>, STAT (Oct. 8, 2021);</w:t>
      </w:r>
      <w:r>
        <w:rPr>
          <w:i/>
          <w:iCs/>
        </w:rPr>
        <w:t xml:space="preserve"> </w:t>
      </w:r>
      <w:r w:rsidRPr="007E49E6">
        <w:t>https://www.statnews.com/2021/10/08/how-covax-failed-on-its-promise-to-vaccinate-the-world</w:t>
      </w:r>
      <w:r>
        <w:t>.</w:t>
      </w:r>
    </w:p>
  </w:footnote>
  <w:footnote w:id="20">
    <w:p w14:paraId="065E0426" w14:textId="656D347E" w:rsidR="00254AF1" w:rsidRDefault="00254AF1" w:rsidP="00254AF1">
      <w:pPr>
        <w:pStyle w:val="FootnoteText"/>
      </w:pPr>
      <w:r>
        <w:rPr>
          <w:rStyle w:val="FootnoteReference"/>
        </w:rPr>
        <w:footnoteRef/>
      </w:r>
      <w:r>
        <w:t xml:space="preserve"> </w:t>
      </w:r>
      <w:r w:rsidR="002D4DB0">
        <w:rPr>
          <w:i/>
          <w:iCs/>
        </w:rPr>
        <w:t xml:space="preserve">See </w:t>
      </w:r>
      <w:r>
        <w:t>TRIPS, Art. 31.</w:t>
      </w:r>
    </w:p>
  </w:footnote>
  <w:footnote w:id="21">
    <w:p w14:paraId="0A0985BC" w14:textId="6A95D39F" w:rsidR="00514832" w:rsidRPr="00514832" w:rsidRDefault="00514832">
      <w:pPr>
        <w:pStyle w:val="FootnoteText"/>
      </w:pPr>
      <w:r>
        <w:rPr>
          <w:rStyle w:val="FootnoteReference"/>
        </w:rPr>
        <w:footnoteRef/>
      </w:r>
      <w:r>
        <w:t xml:space="preserve"> </w:t>
      </w:r>
      <w:r>
        <w:rPr>
          <w:i/>
          <w:iCs/>
        </w:rPr>
        <w:t xml:space="preserve">See </w:t>
      </w:r>
      <w:r>
        <w:t>TRIPS, Art. 31(b).</w:t>
      </w:r>
    </w:p>
  </w:footnote>
  <w:footnote w:id="22">
    <w:p w14:paraId="1E9B232B" w14:textId="77777777" w:rsidR="003638DB" w:rsidRPr="00C3501E" w:rsidRDefault="003638DB" w:rsidP="003638DB">
      <w:pPr>
        <w:pStyle w:val="FootnoteText"/>
        <w:rPr>
          <w:i/>
          <w:iCs/>
        </w:rPr>
      </w:pPr>
      <w:r>
        <w:rPr>
          <w:rStyle w:val="FootnoteReference"/>
        </w:rPr>
        <w:footnoteRef/>
      </w:r>
      <w:r>
        <w:t xml:space="preserve"> </w:t>
      </w:r>
      <w:r>
        <w:rPr>
          <w:i/>
          <w:iCs/>
        </w:rPr>
        <w:t xml:space="preserve">See </w:t>
      </w:r>
      <w:r>
        <w:t>TRIPS, Art. 31</w:t>
      </w:r>
      <w:r>
        <w:rPr>
          <w:i/>
          <w:iCs/>
        </w:rPr>
        <w:t>bis.</w:t>
      </w:r>
    </w:p>
  </w:footnote>
  <w:footnote w:id="23">
    <w:p w14:paraId="02BCA2CF" w14:textId="25BCC170" w:rsidR="00B270A2" w:rsidRPr="00B270A2" w:rsidRDefault="00B270A2">
      <w:pPr>
        <w:pStyle w:val="FootnoteText"/>
      </w:pPr>
      <w:r>
        <w:rPr>
          <w:rStyle w:val="FootnoteReference"/>
        </w:rPr>
        <w:footnoteRef/>
      </w:r>
      <w:r>
        <w:t xml:space="preserve"> </w:t>
      </w:r>
      <w:r>
        <w:rPr>
          <w:i/>
          <w:iCs/>
        </w:rPr>
        <w:t xml:space="preserve">See </w:t>
      </w:r>
      <w:r>
        <w:t xml:space="preserve">TRIPS, Art. 39. Note that </w:t>
      </w:r>
      <w:r w:rsidR="0047103F">
        <w:t>it might be possible for countries to rely on</w:t>
      </w:r>
      <w:r w:rsidR="006D6E54">
        <w:t xml:space="preserve"> the security exception under</w:t>
      </w:r>
      <w:r w:rsidR="0047103F">
        <w:t xml:space="preserve"> </w:t>
      </w:r>
      <w:r>
        <w:t>Article 73</w:t>
      </w:r>
      <w:r w:rsidR="0047103F">
        <w:t>(b</w:t>
      </w:r>
      <w:r w:rsidR="006D6E54">
        <w:t>)</w:t>
      </w:r>
      <w:r w:rsidR="0047103F">
        <w:t>, which</w:t>
      </w:r>
      <w:r>
        <w:t xml:space="preserve"> </w:t>
      </w:r>
      <w:r w:rsidR="006D6E54">
        <w:t>states TRIPS shall not be construed “</w:t>
      </w:r>
      <w:r w:rsidR="00DB12F2" w:rsidRPr="00DB12F2">
        <w:t>to prevent a Member from taking any action which it considers necessary for the protection of its essential security interests</w:t>
      </w:r>
      <w:r w:rsidR="003A70AF">
        <w:t>.”</w:t>
      </w:r>
    </w:p>
  </w:footnote>
  <w:footnote w:id="24">
    <w:p w14:paraId="6643FA10" w14:textId="67031B13" w:rsidR="003B5ED3" w:rsidRPr="00406A7A" w:rsidRDefault="003B5ED3" w:rsidP="003B5ED3">
      <w:pPr>
        <w:pStyle w:val="FootnoteText"/>
      </w:pPr>
      <w:r>
        <w:rPr>
          <w:rStyle w:val="FootnoteReference"/>
        </w:rPr>
        <w:footnoteRef/>
      </w:r>
      <w:r>
        <w:t xml:space="preserve"> </w:t>
      </w:r>
      <w:r>
        <w:rPr>
          <w:i/>
          <w:iCs/>
        </w:rPr>
        <w:t xml:space="preserve">See </w:t>
      </w:r>
      <w:r>
        <w:t xml:space="preserve">Kumar, </w:t>
      </w:r>
      <w:r>
        <w:rPr>
          <w:i/>
          <w:iCs/>
        </w:rPr>
        <w:t>Compulsory Licensing of Patents During Pandemics</w:t>
      </w:r>
      <w:r>
        <w:t xml:space="preserve">, </w:t>
      </w:r>
      <w:r w:rsidR="00D91CCD">
        <w:rPr>
          <w:i/>
          <w:iCs/>
        </w:rPr>
        <w:t xml:space="preserve">supra </w:t>
      </w:r>
      <w:r w:rsidR="00D91CCD">
        <w:t>note 14 at</w:t>
      </w:r>
      <w:r>
        <w:t xml:space="preserve"> 99–100.</w:t>
      </w:r>
    </w:p>
  </w:footnote>
  <w:footnote w:id="25">
    <w:p w14:paraId="7D207BAD" w14:textId="3B5EADB4" w:rsidR="001A6D58" w:rsidRPr="001F79A2" w:rsidRDefault="001A6D58">
      <w:pPr>
        <w:pStyle w:val="FootnoteText"/>
        <w:rPr>
          <w:i/>
          <w:iCs/>
        </w:rPr>
      </w:pPr>
      <w:r>
        <w:rPr>
          <w:rStyle w:val="FootnoteReference"/>
        </w:rPr>
        <w:footnoteRef/>
      </w:r>
      <w:r>
        <w:t xml:space="preserve"> </w:t>
      </w:r>
      <w:r>
        <w:rPr>
          <w:i/>
          <w:iCs/>
        </w:rPr>
        <w:t>Id.</w:t>
      </w:r>
    </w:p>
  </w:footnote>
  <w:footnote w:id="26">
    <w:p w14:paraId="75B998AA" w14:textId="7D2A399C" w:rsidR="0061255B" w:rsidRDefault="0061255B">
      <w:pPr>
        <w:pStyle w:val="FootnoteText"/>
      </w:pPr>
      <w:r>
        <w:rPr>
          <w:rStyle w:val="FootnoteReference"/>
        </w:rPr>
        <w:footnoteRef/>
      </w:r>
      <w:r>
        <w:t xml:space="preserve"> For instance, </w:t>
      </w:r>
      <w:r w:rsidR="00462142">
        <w:t xml:space="preserve">even though it only became commercially applicable during COVID-19, vaccine mRNA technology had long been in development; </w:t>
      </w:r>
      <w:r w:rsidR="00462142">
        <w:rPr>
          <w:i/>
          <w:iCs/>
        </w:rPr>
        <w:t>s</w:t>
      </w:r>
      <w:r w:rsidRPr="00486D4B">
        <w:rPr>
          <w:i/>
          <w:iCs/>
        </w:rPr>
        <w:t>ee e.g</w:t>
      </w:r>
      <w:r>
        <w:t xml:space="preserve">. Damien Garde &amp; Jonathan Saltzman, </w:t>
      </w:r>
      <w:r w:rsidRPr="001F79A2">
        <w:rPr>
          <w:i/>
          <w:iCs/>
        </w:rPr>
        <w:t xml:space="preserve">The </w:t>
      </w:r>
      <w:r w:rsidRPr="001604FA">
        <w:rPr>
          <w:i/>
          <w:iCs/>
        </w:rPr>
        <w:t xml:space="preserve">Story </w:t>
      </w:r>
      <w:r w:rsidRPr="001F79A2">
        <w:rPr>
          <w:i/>
          <w:iCs/>
        </w:rPr>
        <w:t xml:space="preserve">of mRNA: How a </w:t>
      </w:r>
      <w:r w:rsidRPr="001604FA">
        <w:rPr>
          <w:i/>
          <w:iCs/>
        </w:rPr>
        <w:t xml:space="preserve">Once-Dismissed Idea Became </w:t>
      </w:r>
      <w:r w:rsidRPr="001F79A2">
        <w:rPr>
          <w:i/>
          <w:iCs/>
        </w:rPr>
        <w:t xml:space="preserve">a </w:t>
      </w:r>
      <w:r w:rsidRPr="001604FA">
        <w:rPr>
          <w:i/>
          <w:iCs/>
        </w:rPr>
        <w:t xml:space="preserve">Leading Technology </w:t>
      </w:r>
      <w:r w:rsidRPr="001F79A2">
        <w:rPr>
          <w:i/>
          <w:iCs/>
        </w:rPr>
        <w:t xml:space="preserve">in the Covid </w:t>
      </w:r>
      <w:r w:rsidRPr="001604FA">
        <w:rPr>
          <w:i/>
          <w:iCs/>
        </w:rPr>
        <w:t>Vaccine Race</w:t>
      </w:r>
      <w:r w:rsidR="00C21D0C">
        <w:rPr>
          <w:i/>
          <w:iCs/>
        </w:rPr>
        <w:t xml:space="preserve"> </w:t>
      </w:r>
      <w:r w:rsidR="00C21D0C" w:rsidRPr="00F86D99">
        <w:t>[</w:t>
      </w:r>
      <w:r w:rsidR="00C21D0C" w:rsidRPr="00486D4B">
        <w:t>hereinafter</w:t>
      </w:r>
      <w:r w:rsidR="00C21D0C" w:rsidRPr="00F86D99">
        <w:t xml:space="preserve"> The Story of mRNA]</w:t>
      </w:r>
      <w:r>
        <w:t>, S</w:t>
      </w:r>
      <w:r w:rsidR="009534CE">
        <w:t>TAT</w:t>
      </w:r>
      <w:r>
        <w:t xml:space="preserve"> (Nov. 10, 2020), </w:t>
      </w:r>
      <w:r w:rsidRPr="001604FA">
        <w:t>https://www.statnews.com/2020/11/10/the-story-of-mrna-how-a-once-dismissed-idea-became-a-leading-technology-in-the-covid-vaccine-race/</w:t>
      </w:r>
      <w:r w:rsidR="00297D79">
        <w:t>.</w:t>
      </w:r>
      <w:r>
        <w:t xml:space="preserve"> </w:t>
      </w:r>
    </w:p>
  </w:footnote>
  <w:footnote w:id="27">
    <w:p w14:paraId="693A59D3" w14:textId="3B83211F" w:rsidR="00FB6758" w:rsidRDefault="00FB6758">
      <w:pPr>
        <w:pStyle w:val="FootnoteText"/>
      </w:pPr>
      <w:r>
        <w:rPr>
          <w:rStyle w:val="FootnoteReference"/>
        </w:rPr>
        <w:footnoteRef/>
      </w:r>
      <w:r>
        <w:t xml:space="preserve"> </w:t>
      </w:r>
      <w:r w:rsidRPr="00486D4B">
        <w:rPr>
          <w:i/>
          <w:iCs/>
        </w:rPr>
        <w:t>See also generally</w:t>
      </w:r>
      <w:r>
        <w:t xml:space="preserve"> Rutschman, </w:t>
      </w:r>
      <w:r w:rsidRPr="005B7D3D">
        <w:rPr>
          <w:i/>
          <w:iCs/>
        </w:rPr>
        <w:t>IP Preparedness</w:t>
      </w:r>
      <w:r>
        <w:t xml:space="preserve">, </w:t>
      </w:r>
      <w:r w:rsidRPr="005B7D3D">
        <w:rPr>
          <w:i/>
          <w:iCs/>
        </w:rPr>
        <w:t>supra</w:t>
      </w:r>
      <w:r>
        <w:t xml:space="preserve"> note </w:t>
      </w:r>
      <w:r w:rsidR="00FA7329">
        <w:t>5</w:t>
      </w:r>
      <w:r w:rsidR="00FA2359">
        <w:t>.</w:t>
      </w:r>
    </w:p>
  </w:footnote>
  <w:footnote w:id="28">
    <w:p w14:paraId="27F86AA1" w14:textId="6530333D" w:rsidR="000C19AC" w:rsidRDefault="000C19AC">
      <w:pPr>
        <w:pStyle w:val="FootnoteText"/>
      </w:pPr>
      <w:r>
        <w:rPr>
          <w:rStyle w:val="FootnoteReference"/>
        </w:rPr>
        <w:footnoteRef/>
      </w:r>
      <w:r>
        <w:t xml:space="preserve"> </w:t>
      </w:r>
      <w:r w:rsidR="002C6A03" w:rsidRPr="00486D4B">
        <w:rPr>
          <w:i/>
          <w:iCs/>
        </w:rPr>
        <w:t>See e.g.</w:t>
      </w:r>
      <w:r w:rsidR="002C6A03">
        <w:t xml:space="preserve"> Denise Grady, </w:t>
      </w:r>
      <w:r w:rsidR="002C6A03" w:rsidRPr="001F79A2">
        <w:rPr>
          <w:i/>
          <w:iCs/>
        </w:rPr>
        <w:t>Ebola Vaccine, Ready for Test, Sat on the Shelf</w:t>
      </w:r>
      <w:r w:rsidR="002C6A03">
        <w:t xml:space="preserve">, </w:t>
      </w:r>
      <w:r w:rsidR="002C6A03" w:rsidRPr="005C7BD8">
        <w:rPr>
          <w:smallCaps/>
        </w:rPr>
        <w:t xml:space="preserve">NY Times </w:t>
      </w:r>
      <w:r w:rsidR="002C6A03">
        <w:t xml:space="preserve">(Oct. 23, 2014), </w:t>
      </w:r>
      <w:r w:rsidR="002C6A03" w:rsidRPr="002C6A03">
        <w:t>https://www.nytimes.com/2014/10/24/health/without-lucrative-market-potential-ebola-vaccine-was-shelved-for-years.html</w:t>
      </w:r>
      <w:r w:rsidR="00A40CDF">
        <w:t>.</w:t>
      </w:r>
    </w:p>
  </w:footnote>
  <w:footnote w:id="29">
    <w:p w14:paraId="1C528F09" w14:textId="5C7B4F72" w:rsidR="001604FA" w:rsidRPr="00462142" w:rsidRDefault="001604FA">
      <w:pPr>
        <w:pStyle w:val="FootnoteText"/>
      </w:pPr>
      <w:r>
        <w:rPr>
          <w:rStyle w:val="FootnoteReference"/>
        </w:rPr>
        <w:footnoteRef/>
      </w:r>
      <w:r>
        <w:t xml:space="preserve"> </w:t>
      </w:r>
      <w:r w:rsidRPr="00B57724">
        <w:rPr>
          <w:i/>
          <w:iCs/>
        </w:rPr>
        <w:t>See e.g</w:t>
      </w:r>
      <w:r>
        <w:t xml:space="preserve">. Garde &amp; Saltzman, </w:t>
      </w:r>
      <w:r w:rsidRPr="001F79A2">
        <w:rPr>
          <w:i/>
          <w:iCs/>
        </w:rPr>
        <w:t xml:space="preserve">The </w:t>
      </w:r>
      <w:r w:rsidRPr="001604FA">
        <w:rPr>
          <w:i/>
          <w:iCs/>
        </w:rPr>
        <w:t xml:space="preserve">Story </w:t>
      </w:r>
      <w:r w:rsidRPr="001F79A2">
        <w:rPr>
          <w:i/>
          <w:iCs/>
        </w:rPr>
        <w:t>of mRNA</w:t>
      </w:r>
      <w:r w:rsidR="00462142">
        <w:rPr>
          <w:i/>
          <w:iCs/>
        </w:rPr>
        <w:t xml:space="preserve">, supra </w:t>
      </w:r>
      <w:r w:rsidR="00462142" w:rsidRPr="00B57724">
        <w:t xml:space="preserve">note </w:t>
      </w:r>
      <w:r w:rsidR="009534CE">
        <w:t>26</w:t>
      </w:r>
      <w:r w:rsidR="00462142" w:rsidRPr="00B57724">
        <w:t>.</w:t>
      </w:r>
    </w:p>
  </w:footnote>
  <w:footnote w:id="30">
    <w:p w14:paraId="247DCBB3" w14:textId="31ABE237" w:rsidR="00397D63" w:rsidRDefault="00397D63" w:rsidP="00397D63">
      <w:pPr>
        <w:pStyle w:val="FootnoteText"/>
      </w:pPr>
      <w:r>
        <w:rPr>
          <w:rStyle w:val="FootnoteReference"/>
        </w:rPr>
        <w:footnoteRef/>
      </w:r>
      <w:r>
        <w:t xml:space="preserve"> </w:t>
      </w:r>
      <w:r w:rsidRPr="00B57724">
        <w:rPr>
          <w:i/>
          <w:iCs/>
        </w:rPr>
        <w:t>See</w:t>
      </w:r>
      <w:r>
        <w:t xml:space="preserve"> Rutschman, </w:t>
      </w:r>
      <w:r w:rsidRPr="005B7D3D">
        <w:rPr>
          <w:i/>
          <w:iCs/>
        </w:rPr>
        <w:t>IP Preparedness</w:t>
      </w:r>
      <w:r>
        <w:t xml:space="preserve">, </w:t>
      </w:r>
      <w:r w:rsidRPr="005B7D3D">
        <w:rPr>
          <w:i/>
          <w:iCs/>
        </w:rPr>
        <w:t>supra</w:t>
      </w:r>
      <w:r>
        <w:t xml:space="preserve"> note </w:t>
      </w:r>
      <w:r w:rsidR="00FA7329">
        <w:t>5</w:t>
      </w:r>
      <w:r>
        <w:t>, at 1260.</w:t>
      </w:r>
    </w:p>
  </w:footnote>
  <w:footnote w:id="31">
    <w:p w14:paraId="48BD1FB6" w14:textId="6FABEDFD" w:rsidR="009504D9" w:rsidRDefault="009504D9">
      <w:pPr>
        <w:pStyle w:val="FootnoteText"/>
      </w:pPr>
      <w:r>
        <w:rPr>
          <w:rStyle w:val="FootnoteReference"/>
        </w:rPr>
        <w:footnoteRef/>
      </w:r>
      <w:r>
        <w:t xml:space="preserve"> This practice of countries buying up excessive vaccine doses, then counting donations of the excess against their total aid budgets, has been criticized by </w:t>
      </w:r>
      <w:r w:rsidR="00EA0B50">
        <w:t xml:space="preserve">some charity groups. </w:t>
      </w:r>
      <w:r w:rsidR="00EA0B50">
        <w:rPr>
          <w:i/>
          <w:iCs/>
        </w:rPr>
        <w:t>See Donating unwanted vaccine doses should not be part of already stretched aid budgets</w:t>
      </w:r>
      <w:r w:rsidR="00EA0B50">
        <w:t xml:space="preserve">, </w:t>
      </w:r>
      <w:r w:rsidR="00733393">
        <w:t xml:space="preserve">Oxfam Int’l (Feb. 15, 2022), </w:t>
      </w:r>
      <w:r w:rsidR="00733393" w:rsidRPr="00733393">
        <w:t>https://www.oxfam.org/en/press-releases/donating-unwanted-vaccine-doses-should-not-be-part-already-stretched-aid-budgets</w:t>
      </w:r>
      <w:r w:rsidR="00733393">
        <w:t>.</w:t>
      </w:r>
      <w:r>
        <w:t xml:space="preserve"> </w:t>
      </w:r>
    </w:p>
  </w:footnote>
  <w:footnote w:id="32">
    <w:p w14:paraId="3C0C6466" w14:textId="5E02D050" w:rsidR="006B30CC" w:rsidRPr="001F79A2" w:rsidRDefault="006B30CC">
      <w:pPr>
        <w:pStyle w:val="FootnoteText"/>
        <w:rPr>
          <w:i/>
          <w:iCs/>
        </w:rPr>
      </w:pPr>
      <w:r>
        <w:rPr>
          <w:rStyle w:val="FootnoteReference"/>
        </w:rPr>
        <w:footnoteRef/>
      </w:r>
      <w:r>
        <w:t xml:space="preserve"> </w:t>
      </w:r>
      <w:r>
        <w:rPr>
          <w:i/>
          <w:iCs/>
        </w:rPr>
        <w:t xml:space="preserve">See </w:t>
      </w:r>
      <w:r>
        <w:t xml:space="preserve">Rebecca Robbins, </w:t>
      </w:r>
      <w:r>
        <w:rPr>
          <w:i/>
          <w:iCs/>
        </w:rPr>
        <w:t xml:space="preserve">35 </w:t>
      </w:r>
      <w:r w:rsidR="000B41D5">
        <w:rPr>
          <w:i/>
          <w:iCs/>
        </w:rPr>
        <w:t>Companies Sign on to Produce Generic Versions of Pfizer’s Covid Pill</w:t>
      </w:r>
      <w:r w:rsidR="000B41D5">
        <w:t xml:space="preserve">, </w:t>
      </w:r>
      <w:r w:rsidR="000B41D5" w:rsidRPr="005C7BD8">
        <w:rPr>
          <w:smallCaps/>
        </w:rPr>
        <w:t>NY Times</w:t>
      </w:r>
      <w:r w:rsidR="000B41D5">
        <w:t xml:space="preserve"> (March 17, 2022),</w:t>
      </w:r>
      <w:r w:rsidR="000B41D5">
        <w:rPr>
          <w:i/>
          <w:iCs/>
        </w:rPr>
        <w:t xml:space="preserve"> </w:t>
      </w:r>
      <w:r w:rsidRPr="006B30CC">
        <w:t>https://www.nytimes.com/2022/03/17/business/35-companies-sign-on-to-produce-generic-versions-of-pfizers-covid-pill.html</w:t>
      </w:r>
      <w:r w:rsidR="00C21B14">
        <w:t>.</w:t>
      </w:r>
      <w:r w:rsidR="006B5E08">
        <w:t xml:space="preserve"> </w:t>
      </w:r>
      <w:r w:rsidR="00D90BB6">
        <w:t>A</w:t>
      </w:r>
      <w:r w:rsidR="006B5E08" w:rsidRPr="006B5E08">
        <w:t xml:space="preserve"> similar license</w:t>
      </w:r>
      <w:r w:rsidR="00D90BB6">
        <w:t xml:space="preserve"> was negotiated</w:t>
      </w:r>
      <w:r w:rsidR="006B5E08" w:rsidRPr="006B5E08">
        <w:t xml:space="preserve"> with Merck for </w:t>
      </w:r>
      <w:proofErr w:type="spellStart"/>
      <w:r w:rsidR="006B5E08" w:rsidRPr="006B5E08">
        <w:t>molnupiravir</w:t>
      </w:r>
      <w:proofErr w:type="spellEnd"/>
      <w:r w:rsidR="006B5E08" w:rsidRPr="006B5E08">
        <w:t>.</w:t>
      </w:r>
      <w:r w:rsidR="006B5E08">
        <w:t xml:space="preserve"> </w:t>
      </w:r>
      <w:r w:rsidR="006B5E08">
        <w:rPr>
          <w:i/>
          <w:iCs/>
        </w:rPr>
        <w:t>Id.</w:t>
      </w:r>
    </w:p>
  </w:footnote>
  <w:footnote w:id="33">
    <w:p w14:paraId="7A9B81B8" w14:textId="5FA2CA5E" w:rsidR="00A7432D" w:rsidRPr="00BE365F" w:rsidRDefault="00A7432D">
      <w:pPr>
        <w:pStyle w:val="FootnoteText"/>
      </w:pPr>
      <w:r>
        <w:rPr>
          <w:rStyle w:val="FootnoteReference"/>
        </w:rPr>
        <w:footnoteRef/>
      </w:r>
      <w:r>
        <w:t xml:space="preserve"> </w:t>
      </w:r>
      <w:r>
        <w:rPr>
          <w:i/>
          <w:iCs/>
        </w:rPr>
        <w:t xml:space="preserve">See </w:t>
      </w:r>
      <w:r w:rsidR="00BE365F">
        <w:t xml:space="preserve">Stephanie Nolen &amp; Sheryl Gay Stolberg, </w:t>
      </w:r>
      <w:r w:rsidR="00BE365F">
        <w:rPr>
          <w:i/>
          <w:iCs/>
        </w:rPr>
        <w:t>Pressure Grows on U.S. Companies to Share Covid Vaccine Technology</w:t>
      </w:r>
      <w:r w:rsidR="00BE365F">
        <w:t xml:space="preserve">, </w:t>
      </w:r>
      <w:r w:rsidR="00BE365F" w:rsidRPr="005735B3">
        <w:rPr>
          <w:smallCaps/>
        </w:rPr>
        <w:t>NY Times</w:t>
      </w:r>
      <w:r w:rsidR="00BE365F">
        <w:t xml:space="preserve"> (Nov. 9, 2021), </w:t>
      </w:r>
      <w:r w:rsidR="00BE365F" w:rsidRPr="00BE365F">
        <w:t>https://www.nytimes.com/2021/09/22/us/politics/covid-vaccine-moderna-global.html</w:t>
      </w:r>
      <w:r w:rsidR="00BE365F">
        <w:t>.</w:t>
      </w:r>
    </w:p>
  </w:footnote>
  <w:footnote w:id="34">
    <w:p w14:paraId="1CCAC7A1" w14:textId="6171C112" w:rsidR="00933576" w:rsidRDefault="00933576">
      <w:pPr>
        <w:pStyle w:val="FootnoteText"/>
      </w:pPr>
      <w:r>
        <w:rPr>
          <w:rStyle w:val="FootnoteReference"/>
        </w:rPr>
        <w:footnoteRef/>
      </w:r>
      <w:r>
        <w:t xml:space="preserve"> </w:t>
      </w:r>
      <w:r w:rsidR="004F5DD4">
        <w:t>Governmental d</w:t>
      </w:r>
      <w:r w:rsidR="004F5DD4" w:rsidRPr="004F5DD4">
        <w:t xml:space="preserve">rug regulators </w:t>
      </w:r>
      <w:r w:rsidR="00E17D91">
        <w:t xml:space="preserve">generally </w:t>
      </w:r>
      <w:r w:rsidR="004F5DD4" w:rsidRPr="004F5DD4">
        <w:t xml:space="preserve">provide </w:t>
      </w:r>
      <w:r w:rsidR="00E17D91">
        <w:t>some form of</w:t>
      </w:r>
      <w:r w:rsidR="004F5DD4" w:rsidRPr="004F5DD4">
        <w:t xml:space="preserve"> abbreviated approval pathways for follow-on drugs and biologics (the latter category referring to large-molecule drugs, such as vaccines and monoclonal antibodies). </w:t>
      </w:r>
      <w:r w:rsidR="004F5DD4" w:rsidRPr="007E6E4B">
        <w:rPr>
          <w:i/>
          <w:iCs/>
        </w:rPr>
        <w:t>See e.g.</w:t>
      </w:r>
      <w:r w:rsidR="009D62B2">
        <w:rPr>
          <w:i/>
          <w:iCs/>
        </w:rPr>
        <w:t>,</w:t>
      </w:r>
      <w:r w:rsidR="004F5DD4" w:rsidRPr="004F5DD4">
        <w:t xml:space="preserve"> U.S. Food &amp; Drug Admin., Abbreviated New Drug Application (ANDA) (2022), https://www.fda.gov/drugs/types-applications/abbreviated-new-drug-application-anda (describing the review and approval regime for follow-on small-molecule drugs in the United States); </w:t>
      </w:r>
      <w:r w:rsidR="000C6F6E">
        <w:t>U.S. Food &amp; Drug Admin.</w:t>
      </w:r>
      <w:r w:rsidR="004F5DD4" w:rsidRPr="004F5DD4">
        <w:t>, Biosimilar Development, Review, and Approval, https://www.fda.gov/drugs/biosimilars/biosimilar-development-review-and-approval (describing the review and approval regime for follow-on large-molecule drugs in the United States)</w:t>
      </w:r>
      <w:r w:rsidR="000C6F6E">
        <w:t>.</w:t>
      </w:r>
      <w:r w:rsidR="004F5DD4" w:rsidRPr="004F5DD4">
        <w:t xml:space="preserve"> </w:t>
      </w:r>
      <w:r w:rsidR="004F5DD4" w:rsidRPr="007E6E4B">
        <w:rPr>
          <w:i/>
          <w:iCs/>
        </w:rPr>
        <w:t>See also</w:t>
      </w:r>
      <w:r w:rsidR="00446212">
        <w:t>,</w:t>
      </w:r>
      <w:r w:rsidR="004F5DD4" w:rsidRPr="004F5DD4">
        <w:t xml:space="preserve"> 21 U.S.C § 355(j) (requiring that sponsors demonstrate bioequivalence between a follow-on small-molecule drug and the reference drug, rather than requiring the submission of preclinical (animal) and clinical (human) data to establish safety and effectiveness); 42 U.S.C § 262(k) (requiring sponsors to demonstrate </w:t>
      </w:r>
      <w:proofErr w:type="spellStart"/>
      <w:r w:rsidR="004F5DD4" w:rsidRPr="004F5DD4">
        <w:t>biosimilarity</w:t>
      </w:r>
      <w:proofErr w:type="spellEnd"/>
      <w:r w:rsidR="004F5DD4" w:rsidRPr="004F5DD4">
        <w:t xml:space="preserve"> or interchangeability of a follow-on biologic and the reference biologic and similarly doing away with the submission of preclinical and clinical trial data).</w:t>
      </w:r>
      <w:r w:rsidR="00F624A7">
        <w:t xml:space="preserve"> </w:t>
      </w:r>
      <w:r w:rsidR="00F624A7" w:rsidRPr="007A5AA5">
        <w:rPr>
          <w:i/>
          <w:iCs/>
        </w:rPr>
        <w:t>See also</w:t>
      </w:r>
      <w:r w:rsidR="00F624A7">
        <w:t xml:space="preserve"> U.S. </w:t>
      </w:r>
      <w:r w:rsidR="00F624A7" w:rsidRPr="004F5DD4">
        <w:t xml:space="preserve">Food &amp; Drug Admin., </w:t>
      </w:r>
      <w:r w:rsidR="00F624A7" w:rsidRPr="00F624A7">
        <w:t>Emergency Use Authorization for Vaccines Explained</w:t>
      </w:r>
      <w:r w:rsidR="00A02B78">
        <w:t xml:space="preserve"> (2020), </w:t>
      </w:r>
      <w:r w:rsidR="00A02B78" w:rsidRPr="00A02B78">
        <w:t>https://www.fda.gov/vaccines-blood-biologics/vaccines/emergency-use-authorization-vaccines-explained</w:t>
      </w:r>
      <w:r w:rsidR="007A5AA5">
        <w:t>.</w:t>
      </w:r>
    </w:p>
  </w:footnote>
  <w:footnote w:id="35">
    <w:p w14:paraId="660A05D4" w14:textId="6D7BD38E" w:rsidR="00C14605" w:rsidRDefault="00C14605">
      <w:pPr>
        <w:pStyle w:val="FootnoteText"/>
      </w:pPr>
      <w:r>
        <w:rPr>
          <w:rStyle w:val="FootnoteReference"/>
        </w:rPr>
        <w:footnoteRef/>
      </w:r>
      <w:r>
        <w:t xml:space="preserve"> Norman Miller, </w:t>
      </w:r>
      <w:r>
        <w:rPr>
          <w:i/>
          <w:iCs/>
        </w:rPr>
        <w:t xml:space="preserve">The </w:t>
      </w:r>
      <w:r w:rsidR="002E4392">
        <w:rPr>
          <w:i/>
          <w:iCs/>
        </w:rPr>
        <w:t>R</w:t>
      </w:r>
      <w:r>
        <w:rPr>
          <w:i/>
          <w:iCs/>
        </w:rPr>
        <w:t xml:space="preserve">ollout of a COVID-19 </w:t>
      </w:r>
      <w:r w:rsidR="002E4392">
        <w:rPr>
          <w:i/>
          <w:iCs/>
        </w:rPr>
        <w:t>V</w:t>
      </w:r>
      <w:r>
        <w:rPr>
          <w:i/>
          <w:iCs/>
        </w:rPr>
        <w:t xml:space="preserve">accine is under </w:t>
      </w:r>
      <w:r w:rsidR="002E4392">
        <w:rPr>
          <w:i/>
          <w:iCs/>
        </w:rPr>
        <w:t>T</w:t>
      </w:r>
      <w:r>
        <w:rPr>
          <w:i/>
          <w:iCs/>
        </w:rPr>
        <w:t xml:space="preserve">hreat: Leading </w:t>
      </w:r>
      <w:r w:rsidR="002E4392">
        <w:rPr>
          <w:i/>
          <w:iCs/>
        </w:rPr>
        <w:t>E</w:t>
      </w:r>
      <w:r>
        <w:rPr>
          <w:i/>
          <w:iCs/>
        </w:rPr>
        <w:t xml:space="preserve">xperts </w:t>
      </w:r>
      <w:r w:rsidR="00D803C7">
        <w:rPr>
          <w:i/>
          <w:iCs/>
        </w:rPr>
        <w:t>T</w:t>
      </w:r>
      <w:r>
        <w:rPr>
          <w:i/>
          <w:iCs/>
        </w:rPr>
        <w:t xml:space="preserve">ell </w:t>
      </w:r>
      <w:r w:rsidR="00D803C7">
        <w:rPr>
          <w:i/>
          <w:iCs/>
        </w:rPr>
        <w:t>U</w:t>
      </w:r>
      <w:r>
        <w:rPr>
          <w:i/>
          <w:iCs/>
        </w:rPr>
        <w:t xml:space="preserve">s </w:t>
      </w:r>
      <w:r w:rsidR="00D803C7">
        <w:rPr>
          <w:i/>
          <w:iCs/>
        </w:rPr>
        <w:t>T</w:t>
      </w:r>
      <w:r>
        <w:rPr>
          <w:i/>
          <w:iCs/>
        </w:rPr>
        <w:t xml:space="preserve">hey’re </w:t>
      </w:r>
      <w:r w:rsidR="00D803C7">
        <w:rPr>
          <w:i/>
          <w:iCs/>
        </w:rPr>
        <w:t>W</w:t>
      </w:r>
      <w:r>
        <w:rPr>
          <w:i/>
          <w:iCs/>
        </w:rPr>
        <w:t xml:space="preserve">orried about a </w:t>
      </w:r>
      <w:r w:rsidR="00D803C7">
        <w:rPr>
          <w:i/>
          <w:iCs/>
        </w:rPr>
        <w:t>S</w:t>
      </w:r>
      <w:r>
        <w:rPr>
          <w:i/>
          <w:iCs/>
        </w:rPr>
        <w:t xml:space="preserve">hortage of </w:t>
      </w:r>
      <w:r w:rsidR="00D803C7">
        <w:rPr>
          <w:i/>
          <w:iCs/>
        </w:rPr>
        <w:t>G</w:t>
      </w:r>
      <w:r>
        <w:rPr>
          <w:i/>
          <w:iCs/>
        </w:rPr>
        <w:t xml:space="preserve">lass </w:t>
      </w:r>
      <w:r w:rsidR="00D803C7">
        <w:rPr>
          <w:i/>
          <w:iCs/>
        </w:rPr>
        <w:t>V</w:t>
      </w:r>
      <w:r>
        <w:rPr>
          <w:i/>
          <w:iCs/>
        </w:rPr>
        <w:t xml:space="preserve">ials, </w:t>
      </w:r>
      <w:r w:rsidR="00D803C7">
        <w:rPr>
          <w:i/>
          <w:iCs/>
        </w:rPr>
        <w:t>C</w:t>
      </w:r>
      <w:r>
        <w:rPr>
          <w:i/>
          <w:iCs/>
        </w:rPr>
        <w:t xml:space="preserve">argo </w:t>
      </w:r>
      <w:r w:rsidR="00D803C7">
        <w:rPr>
          <w:i/>
          <w:iCs/>
        </w:rPr>
        <w:t>P</w:t>
      </w:r>
      <w:r>
        <w:rPr>
          <w:i/>
          <w:iCs/>
        </w:rPr>
        <w:t xml:space="preserve">lanes, and </w:t>
      </w:r>
      <w:r w:rsidR="00D803C7">
        <w:rPr>
          <w:i/>
          <w:iCs/>
        </w:rPr>
        <w:t>C</w:t>
      </w:r>
      <w:r>
        <w:rPr>
          <w:i/>
          <w:iCs/>
        </w:rPr>
        <w:t xml:space="preserve">old-storage </w:t>
      </w:r>
      <w:r w:rsidR="00D803C7">
        <w:rPr>
          <w:i/>
          <w:iCs/>
        </w:rPr>
        <w:t>U</w:t>
      </w:r>
      <w:r>
        <w:rPr>
          <w:i/>
          <w:iCs/>
        </w:rPr>
        <w:t>nits</w:t>
      </w:r>
      <w:r>
        <w:t xml:space="preserve">, </w:t>
      </w:r>
      <w:r w:rsidRPr="00D803C7">
        <w:rPr>
          <w:smallCaps/>
        </w:rPr>
        <w:t>Bus. Insider</w:t>
      </w:r>
      <w:r>
        <w:t xml:space="preserve"> (Sept. 21, 2020),</w:t>
      </w:r>
      <w:r>
        <w:rPr>
          <w:i/>
          <w:iCs/>
        </w:rPr>
        <w:t xml:space="preserve"> </w:t>
      </w:r>
      <w:r w:rsidRPr="00C14605">
        <w:t>https://www.businessinsider.com/covid-19-vaccine-experts-warn-glass-vials-planes-storage-shortage-2020-9</w:t>
      </w:r>
    </w:p>
  </w:footnote>
  <w:footnote w:id="36">
    <w:p w14:paraId="39174A11" w14:textId="12AA2988" w:rsidR="002A3F83" w:rsidRDefault="002A3F83">
      <w:pPr>
        <w:pStyle w:val="FootnoteText"/>
      </w:pPr>
      <w:r>
        <w:rPr>
          <w:rStyle w:val="FootnoteReference"/>
        </w:rPr>
        <w:footnoteRef/>
      </w:r>
      <w:r>
        <w:t xml:space="preserve"> </w:t>
      </w:r>
      <w:r w:rsidRPr="00583F3C">
        <w:rPr>
          <w:i/>
          <w:iCs/>
        </w:rPr>
        <w:t>See</w:t>
      </w:r>
      <w:r>
        <w:t xml:space="preserve"> generally Rutschman, </w:t>
      </w:r>
      <w:r w:rsidRPr="005B7D3D">
        <w:rPr>
          <w:i/>
          <w:iCs/>
        </w:rPr>
        <w:t>IP Preparedness</w:t>
      </w:r>
      <w:r>
        <w:t xml:space="preserve">, </w:t>
      </w:r>
      <w:r w:rsidRPr="005B7D3D">
        <w:rPr>
          <w:i/>
          <w:iCs/>
        </w:rPr>
        <w:t>supra</w:t>
      </w:r>
      <w:r>
        <w:t xml:space="preserve"> note </w:t>
      </w:r>
      <w:r w:rsidR="00FA7329">
        <w:t>5</w:t>
      </w:r>
      <w:r>
        <w:t>.</w:t>
      </w:r>
    </w:p>
  </w:footnote>
  <w:footnote w:id="37">
    <w:p w14:paraId="4DC4994F" w14:textId="0D77A69A" w:rsidR="002917A1" w:rsidRDefault="002917A1">
      <w:pPr>
        <w:pStyle w:val="FootnoteText"/>
      </w:pPr>
      <w:r>
        <w:rPr>
          <w:rStyle w:val="FootnoteReference"/>
        </w:rPr>
        <w:footnoteRef/>
      </w:r>
      <w:r>
        <w:t xml:space="preserve"> </w:t>
      </w:r>
      <w:r w:rsidR="002A3F83">
        <w:rPr>
          <w:i/>
          <w:iCs/>
        </w:rPr>
        <w:t>Id.</w:t>
      </w:r>
    </w:p>
  </w:footnote>
  <w:footnote w:id="38">
    <w:p w14:paraId="5E0F9E3D" w14:textId="52FA95D1" w:rsidR="006E6996" w:rsidRDefault="006E6996">
      <w:pPr>
        <w:pStyle w:val="FootnoteText"/>
      </w:pPr>
      <w:r>
        <w:rPr>
          <w:rStyle w:val="FootnoteReference"/>
        </w:rPr>
        <w:footnoteRef/>
      </w:r>
      <w:r>
        <w:t xml:space="preserve"> </w:t>
      </w:r>
      <w:r w:rsidRPr="00B57724">
        <w:rPr>
          <w:i/>
          <w:iCs/>
        </w:rPr>
        <w:t>Cfr.</w:t>
      </w:r>
      <w:r>
        <w:t xml:space="preserve"> World Health Org.,</w:t>
      </w:r>
      <w:r w:rsidR="00162A93">
        <w:t xml:space="preserve"> </w:t>
      </w:r>
      <w:r w:rsidR="00162A93" w:rsidRPr="001F79A2">
        <w:rPr>
          <w:i/>
          <w:iCs/>
        </w:rPr>
        <w:t>An R&amp;D Blueprint for Action to Prevent Pandemics</w:t>
      </w:r>
      <w:r w:rsidR="00162A93">
        <w:t xml:space="preserve"> </w:t>
      </w:r>
      <w:r>
        <w:t>(</w:t>
      </w:r>
      <w:r w:rsidR="00162A93">
        <w:t>2016</w:t>
      </w:r>
      <w:r>
        <w:t>)</w:t>
      </w:r>
      <w:r w:rsidR="00162A93">
        <w:t xml:space="preserve"> (listing priority pathogens, including coronaviruses).</w:t>
      </w:r>
    </w:p>
  </w:footnote>
  <w:footnote w:id="39">
    <w:p w14:paraId="2CAF2C34" w14:textId="3DFBC56C" w:rsidR="00284BEF" w:rsidRDefault="00284BEF">
      <w:pPr>
        <w:pStyle w:val="FootnoteText"/>
      </w:pPr>
      <w:r>
        <w:rPr>
          <w:rStyle w:val="FootnoteReference"/>
        </w:rPr>
        <w:footnoteRef/>
      </w:r>
      <w:r>
        <w:t xml:space="preserve"> </w:t>
      </w:r>
      <w:r w:rsidR="00641F02" w:rsidRPr="00FE4B4F">
        <w:rPr>
          <w:i/>
          <w:iCs/>
        </w:rPr>
        <w:t>See</w:t>
      </w:r>
      <w:r w:rsidR="00641F02">
        <w:t xml:space="preserve"> Rutschman, </w:t>
      </w:r>
      <w:r w:rsidR="00641F02" w:rsidRPr="005B7D3D">
        <w:rPr>
          <w:i/>
          <w:iCs/>
        </w:rPr>
        <w:t>IP Preparedness</w:t>
      </w:r>
      <w:r w:rsidR="00641F02">
        <w:t xml:space="preserve">, </w:t>
      </w:r>
      <w:r w:rsidR="00641F02" w:rsidRPr="005B7D3D">
        <w:rPr>
          <w:i/>
          <w:iCs/>
        </w:rPr>
        <w:t>supra</w:t>
      </w:r>
      <w:r w:rsidR="00641F02">
        <w:t xml:space="preserve"> note </w:t>
      </w:r>
      <w:r w:rsidR="00FA7329">
        <w:t>5</w:t>
      </w:r>
      <w:r w:rsidR="00641F02">
        <w:t>, at 1207–1218; 1244–1252.</w:t>
      </w:r>
    </w:p>
  </w:footnote>
  <w:footnote w:id="40">
    <w:p w14:paraId="37FC659F" w14:textId="41247399" w:rsidR="0044070E" w:rsidRDefault="0044070E">
      <w:pPr>
        <w:pStyle w:val="FootnoteText"/>
      </w:pPr>
      <w:r>
        <w:rPr>
          <w:rStyle w:val="FootnoteReference"/>
        </w:rPr>
        <w:footnoteRef/>
      </w:r>
      <w:r>
        <w:t xml:space="preserve"> </w:t>
      </w:r>
      <w:r w:rsidRPr="00FC4C71">
        <w:rPr>
          <w:i/>
          <w:iCs/>
        </w:rPr>
        <w:t>See e.g.</w:t>
      </w:r>
      <w:r>
        <w:t xml:space="preserve"> </w:t>
      </w:r>
      <w:proofErr w:type="spellStart"/>
      <w:r w:rsidR="004D2ABC">
        <w:t>Nat’l</w:t>
      </w:r>
      <w:proofErr w:type="spellEnd"/>
      <w:r w:rsidR="004D2ABC">
        <w:t xml:space="preserve"> </w:t>
      </w:r>
      <w:proofErr w:type="spellStart"/>
      <w:r w:rsidR="004D2ABC">
        <w:t>Ins’t</w:t>
      </w:r>
      <w:proofErr w:type="spellEnd"/>
      <w:r w:rsidR="004D2ABC">
        <w:t xml:space="preserve"> Allergy &amp; Infectious Diseases, </w:t>
      </w:r>
      <w:r w:rsidR="004D2ABC" w:rsidRPr="004D2ABC">
        <w:t>NIAID Emerging Infectious Diseases/Pathogens</w:t>
      </w:r>
      <w:r w:rsidR="004D2ABC">
        <w:t xml:space="preserve"> (2018), </w:t>
      </w:r>
      <w:r w:rsidR="004D2ABC" w:rsidRPr="004D2ABC">
        <w:t>https://www.niaid.nih.gov/research/emerging-infectious-diseases-pathogens</w:t>
      </w:r>
      <w:r w:rsidR="00FC4C71">
        <w:t>.</w:t>
      </w:r>
    </w:p>
  </w:footnote>
  <w:footnote w:id="41">
    <w:p w14:paraId="5A7AADF2" w14:textId="5E7E24F0" w:rsidR="00534D41" w:rsidRDefault="00534D41">
      <w:pPr>
        <w:pStyle w:val="FootnoteText"/>
      </w:pPr>
      <w:r>
        <w:rPr>
          <w:rStyle w:val="FootnoteReference"/>
        </w:rPr>
        <w:footnoteRef/>
      </w:r>
      <w:r>
        <w:t xml:space="preserve"> </w:t>
      </w:r>
      <w:r w:rsidRPr="00B26519">
        <w:rPr>
          <w:i/>
          <w:iCs/>
        </w:rPr>
        <w:t>See</w:t>
      </w:r>
      <w:r>
        <w:t xml:space="preserve"> </w:t>
      </w:r>
      <w:r w:rsidRPr="00534D41">
        <w:t>Annelies Wilder-Smith</w:t>
      </w:r>
      <w:r>
        <w:t xml:space="preserve"> &amp; Sarah Osman, </w:t>
      </w:r>
      <w:r w:rsidRPr="001F7E78">
        <w:rPr>
          <w:i/>
          <w:iCs/>
        </w:rPr>
        <w:t>Public Health Emergencies of International Concern: A Historic Overview</w:t>
      </w:r>
      <w:r>
        <w:t xml:space="preserve">, 27 </w:t>
      </w:r>
      <w:r w:rsidRPr="00A176F4">
        <w:rPr>
          <w:smallCaps/>
        </w:rPr>
        <w:t xml:space="preserve">J. Travel Med. </w:t>
      </w:r>
      <w:r w:rsidR="00DC3629">
        <w:t>1–2</w:t>
      </w:r>
      <w:r>
        <w:t xml:space="preserve"> (2020), </w:t>
      </w:r>
      <w:r w:rsidRPr="00534D41">
        <w:t>https://pubmed.ncbi.nlm.nih.gov/33284964/</w:t>
      </w:r>
    </w:p>
  </w:footnote>
  <w:footnote w:id="42">
    <w:p w14:paraId="094BE3F1" w14:textId="47561C00" w:rsidR="00106AA0" w:rsidRDefault="00106AA0">
      <w:pPr>
        <w:pStyle w:val="FootnoteText"/>
      </w:pPr>
      <w:r>
        <w:rPr>
          <w:rStyle w:val="FootnoteReference"/>
        </w:rPr>
        <w:footnoteRef/>
      </w:r>
      <w:r>
        <w:t xml:space="preserve"> </w:t>
      </w:r>
      <w:r w:rsidRPr="00B26519">
        <w:rPr>
          <w:i/>
          <w:iCs/>
        </w:rPr>
        <w:t>See generally</w:t>
      </w:r>
      <w:r w:rsidR="00C77E12">
        <w:t>,</w:t>
      </w:r>
      <w:r>
        <w:t xml:space="preserve"> Rutschman, </w:t>
      </w:r>
      <w:r w:rsidRPr="005B7D3D">
        <w:rPr>
          <w:i/>
          <w:iCs/>
        </w:rPr>
        <w:t>IP Preparedness</w:t>
      </w:r>
      <w:r>
        <w:t xml:space="preserve">, </w:t>
      </w:r>
      <w:r w:rsidRPr="005B7D3D">
        <w:rPr>
          <w:i/>
          <w:iCs/>
        </w:rPr>
        <w:t>supra</w:t>
      </w:r>
      <w:r>
        <w:t xml:space="preserve"> note </w:t>
      </w:r>
      <w:r w:rsidR="00FA7329">
        <w:t>5</w:t>
      </w:r>
      <w:r>
        <w:t>, at 1260.</w:t>
      </w:r>
    </w:p>
  </w:footnote>
  <w:footnote w:id="43">
    <w:p w14:paraId="43F1D321" w14:textId="1F56CD3B" w:rsidR="009A73E5" w:rsidRDefault="009A73E5" w:rsidP="009A73E5">
      <w:pPr>
        <w:pStyle w:val="FootnoteText"/>
      </w:pPr>
      <w:r>
        <w:rPr>
          <w:rStyle w:val="FootnoteReference"/>
        </w:rPr>
        <w:footnoteRef/>
      </w:r>
      <w:r>
        <w:t xml:space="preserve"> Indeed, Pfizer refused to accept any R&amp;D funding for its mRNA vaccine from the U.S. government, likely out of concern that the government might utilize march-in rights against any resulting patents. </w:t>
      </w:r>
      <w:r>
        <w:rPr>
          <w:i/>
          <w:iCs/>
        </w:rPr>
        <w:t xml:space="preserve">See </w:t>
      </w:r>
      <w:r>
        <w:t xml:space="preserve">Kumar, </w:t>
      </w:r>
      <w:r>
        <w:rPr>
          <w:i/>
          <w:iCs/>
        </w:rPr>
        <w:t>Compulsory Licensing of Patents During Pandemics</w:t>
      </w:r>
      <w:r>
        <w:t xml:space="preserve">, </w:t>
      </w:r>
      <w:r>
        <w:rPr>
          <w:i/>
          <w:iCs/>
        </w:rPr>
        <w:t xml:space="preserve">supra </w:t>
      </w:r>
      <w:r>
        <w:t xml:space="preserve">note </w:t>
      </w:r>
      <w:r w:rsidR="00FA7329">
        <w:t>14</w:t>
      </w:r>
      <w:r>
        <w:t xml:space="preserve"> at 81. </w:t>
      </w:r>
    </w:p>
  </w:footnote>
  <w:footnote w:id="44">
    <w:p w14:paraId="2F3D7826" w14:textId="77777777" w:rsidR="009A73E5" w:rsidRDefault="009A73E5" w:rsidP="009A73E5">
      <w:pPr>
        <w:pStyle w:val="FootnoteText"/>
      </w:pPr>
      <w:r>
        <w:rPr>
          <w:rStyle w:val="FootnoteReference"/>
        </w:rPr>
        <w:footnoteRef/>
      </w:r>
      <w:r>
        <w:t xml:space="preserve"> For example, Moderna accepted significant government funds for the development of its mRNA vaccine. </w:t>
      </w:r>
      <w:r w:rsidRPr="00FE4B4F">
        <w:rPr>
          <w:i/>
          <w:iCs/>
        </w:rPr>
        <w:t>See</w:t>
      </w:r>
      <w:r>
        <w:t xml:space="preserve"> </w:t>
      </w:r>
      <w:r w:rsidRPr="008708A4">
        <w:t xml:space="preserve">Simi V. </w:t>
      </w:r>
      <w:proofErr w:type="spellStart"/>
      <w:r w:rsidRPr="008708A4">
        <w:t>Siddalingaiah</w:t>
      </w:r>
      <w:proofErr w:type="spellEnd"/>
      <w:r w:rsidRPr="008708A4">
        <w:t>, C</w:t>
      </w:r>
      <w:r>
        <w:t>ong</w:t>
      </w:r>
      <w:r w:rsidRPr="008708A4">
        <w:t xml:space="preserve">. </w:t>
      </w:r>
      <w:proofErr w:type="spellStart"/>
      <w:r w:rsidRPr="008708A4">
        <w:t>R</w:t>
      </w:r>
      <w:r>
        <w:t>sch</w:t>
      </w:r>
      <w:proofErr w:type="spellEnd"/>
      <w:r w:rsidRPr="008708A4">
        <w:t>. S</w:t>
      </w:r>
      <w:r>
        <w:t>erv</w:t>
      </w:r>
      <w:r w:rsidRPr="008708A4">
        <w:t>., IN11560, OPERATION WARP SPEED CONTRACTS FOR COVID-19 VACCINES AND ANCILLARY VACCINATION MATERIALS 2 (2021), https://crsreports.congress.gov/product/pdf/IN/IN11560.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A70AB"/>
    <w:multiLevelType w:val="hybridMultilevel"/>
    <w:tmpl w:val="6E16AA54"/>
    <w:lvl w:ilvl="0" w:tplc="1CB0D88C">
      <w:start w:val="1"/>
      <w:numFmt w:val="bullet"/>
      <w:lvlText w:val=""/>
      <w:lvlJc w:val="left"/>
      <w:pPr>
        <w:ind w:left="648" w:hanging="288"/>
      </w:pPr>
      <w:rPr>
        <w:rFonts w:ascii="Wingdings" w:hAnsi="Wingdings" w:hint="default"/>
      </w:rPr>
    </w:lvl>
    <w:lvl w:ilvl="1" w:tplc="DCA2C59E">
      <w:start w:val="1"/>
      <w:numFmt w:val="bullet"/>
      <w:pStyle w:val="Resumebody"/>
      <w:lvlText w:val=""/>
      <w:lvlJc w:val="left"/>
      <w:pPr>
        <w:ind w:left="1008" w:hanging="288"/>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62"/>
    <w:rsid w:val="0000072F"/>
    <w:rsid w:val="0000289A"/>
    <w:rsid w:val="00005617"/>
    <w:rsid w:val="00011959"/>
    <w:rsid w:val="00014698"/>
    <w:rsid w:val="0001676F"/>
    <w:rsid w:val="000200DF"/>
    <w:rsid w:val="00022F22"/>
    <w:rsid w:val="00024B2E"/>
    <w:rsid w:val="0002543A"/>
    <w:rsid w:val="00025AF1"/>
    <w:rsid w:val="00025C0F"/>
    <w:rsid w:val="000330CE"/>
    <w:rsid w:val="000330E4"/>
    <w:rsid w:val="00050AE1"/>
    <w:rsid w:val="0005134F"/>
    <w:rsid w:val="00052A94"/>
    <w:rsid w:val="000551B8"/>
    <w:rsid w:val="0006265F"/>
    <w:rsid w:val="000640E6"/>
    <w:rsid w:val="00065A80"/>
    <w:rsid w:val="000677FF"/>
    <w:rsid w:val="00067C1E"/>
    <w:rsid w:val="00083665"/>
    <w:rsid w:val="00087402"/>
    <w:rsid w:val="00091A1A"/>
    <w:rsid w:val="00092474"/>
    <w:rsid w:val="000931BE"/>
    <w:rsid w:val="000A07B5"/>
    <w:rsid w:val="000A2E35"/>
    <w:rsid w:val="000A30A9"/>
    <w:rsid w:val="000A5377"/>
    <w:rsid w:val="000A6FE5"/>
    <w:rsid w:val="000B0025"/>
    <w:rsid w:val="000B2C71"/>
    <w:rsid w:val="000B41D5"/>
    <w:rsid w:val="000B49D3"/>
    <w:rsid w:val="000B753D"/>
    <w:rsid w:val="000C0EB1"/>
    <w:rsid w:val="000C19AC"/>
    <w:rsid w:val="000C25B7"/>
    <w:rsid w:val="000C3421"/>
    <w:rsid w:val="000C6F6E"/>
    <w:rsid w:val="000D0CC2"/>
    <w:rsid w:val="000D1637"/>
    <w:rsid w:val="000D218E"/>
    <w:rsid w:val="000D3DD1"/>
    <w:rsid w:val="000D71EB"/>
    <w:rsid w:val="000E05F9"/>
    <w:rsid w:val="000E20A7"/>
    <w:rsid w:val="000E540D"/>
    <w:rsid w:val="000F7053"/>
    <w:rsid w:val="00101007"/>
    <w:rsid w:val="00101C48"/>
    <w:rsid w:val="0010254B"/>
    <w:rsid w:val="001046D3"/>
    <w:rsid w:val="00106AA0"/>
    <w:rsid w:val="00106D07"/>
    <w:rsid w:val="00106E69"/>
    <w:rsid w:val="001076C9"/>
    <w:rsid w:val="001170EE"/>
    <w:rsid w:val="00117AA0"/>
    <w:rsid w:val="00122A59"/>
    <w:rsid w:val="00122DAE"/>
    <w:rsid w:val="00122EAD"/>
    <w:rsid w:val="001243A5"/>
    <w:rsid w:val="00124B05"/>
    <w:rsid w:val="00125AE0"/>
    <w:rsid w:val="001268CC"/>
    <w:rsid w:val="00126F9D"/>
    <w:rsid w:val="0013368C"/>
    <w:rsid w:val="00140D7A"/>
    <w:rsid w:val="001415B8"/>
    <w:rsid w:val="0014357D"/>
    <w:rsid w:val="00144995"/>
    <w:rsid w:val="00146082"/>
    <w:rsid w:val="0014690C"/>
    <w:rsid w:val="001515A7"/>
    <w:rsid w:val="00151AD0"/>
    <w:rsid w:val="001548D7"/>
    <w:rsid w:val="001604FA"/>
    <w:rsid w:val="00160542"/>
    <w:rsid w:val="001621AC"/>
    <w:rsid w:val="001621DA"/>
    <w:rsid w:val="00162A93"/>
    <w:rsid w:val="00163CF8"/>
    <w:rsid w:val="00165554"/>
    <w:rsid w:val="00165FE6"/>
    <w:rsid w:val="001660A0"/>
    <w:rsid w:val="00173D87"/>
    <w:rsid w:val="001747B8"/>
    <w:rsid w:val="0017494F"/>
    <w:rsid w:val="00175BF5"/>
    <w:rsid w:val="00176155"/>
    <w:rsid w:val="0018071C"/>
    <w:rsid w:val="001849EF"/>
    <w:rsid w:val="001A2219"/>
    <w:rsid w:val="001A3EDD"/>
    <w:rsid w:val="001A6D58"/>
    <w:rsid w:val="001A7ED7"/>
    <w:rsid w:val="001B6653"/>
    <w:rsid w:val="001B6C32"/>
    <w:rsid w:val="001C60CD"/>
    <w:rsid w:val="001C69D6"/>
    <w:rsid w:val="001C6F3C"/>
    <w:rsid w:val="001D164A"/>
    <w:rsid w:val="001D2764"/>
    <w:rsid w:val="001D4FCC"/>
    <w:rsid w:val="001D5174"/>
    <w:rsid w:val="001D5CC0"/>
    <w:rsid w:val="001D7AC4"/>
    <w:rsid w:val="001E079A"/>
    <w:rsid w:val="001E5432"/>
    <w:rsid w:val="001E573C"/>
    <w:rsid w:val="001E5915"/>
    <w:rsid w:val="001F1421"/>
    <w:rsid w:val="001F1826"/>
    <w:rsid w:val="001F23BE"/>
    <w:rsid w:val="001F592F"/>
    <w:rsid w:val="001F79A2"/>
    <w:rsid w:val="001F7E78"/>
    <w:rsid w:val="00204544"/>
    <w:rsid w:val="00206D63"/>
    <w:rsid w:val="00211243"/>
    <w:rsid w:val="00212A94"/>
    <w:rsid w:val="002131D2"/>
    <w:rsid w:val="00213B0B"/>
    <w:rsid w:val="002175F6"/>
    <w:rsid w:val="002209C5"/>
    <w:rsid w:val="0022226F"/>
    <w:rsid w:val="00222849"/>
    <w:rsid w:val="002237F6"/>
    <w:rsid w:val="00225983"/>
    <w:rsid w:val="002267CA"/>
    <w:rsid w:val="00230B0E"/>
    <w:rsid w:val="00231841"/>
    <w:rsid w:val="0023326D"/>
    <w:rsid w:val="00236DD1"/>
    <w:rsid w:val="002374A8"/>
    <w:rsid w:val="002407BC"/>
    <w:rsid w:val="002424EA"/>
    <w:rsid w:val="00243B99"/>
    <w:rsid w:val="00246E4A"/>
    <w:rsid w:val="00254965"/>
    <w:rsid w:val="00254AF1"/>
    <w:rsid w:val="00256AD1"/>
    <w:rsid w:val="00260274"/>
    <w:rsid w:val="00262D75"/>
    <w:rsid w:val="00266E7C"/>
    <w:rsid w:val="002701F9"/>
    <w:rsid w:val="00272F5F"/>
    <w:rsid w:val="00273385"/>
    <w:rsid w:val="002747CE"/>
    <w:rsid w:val="00275E00"/>
    <w:rsid w:val="00280B44"/>
    <w:rsid w:val="002811C8"/>
    <w:rsid w:val="00281DBF"/>
    <w:rsid w:val="00284BEF"/>
    <w:rsid w:val="002917A1"/>
    <w:rsid w:val="00297D79"/>
    <w:rsid w:val="002A26B8"/>
    <w:rsid w:val="002A2B1C"/>
    <w:rsid w:val="002A3F83"/>
    <w:rsid w:val="002A6BA4"/>
    <w:rsid w:val="002A764E"/>
    <w:rsid w:val="002B0F95"/>
    <w:rsid w:val="002B16A9"/>
    <w:rsid w:val="002B3D90"/>
    <w:rsid w:val="002C372A"/>
    <w:rsid w:val="002C5CC7"/>
    <w:rsid w:val="002C6A03"/>
    <w:rsid w:val="002C7612"/>
    <w:rsid w:val="002D4DB0"/>
    <w:rsid w:val="002D64C3"/>
    <w:rsid w:val="002E1643"/>
    <w:rsid w:val="002E1F95"/>
    <w:rsid w:val="002E4392"/>
    <w:rsid w:val="002E43D5"/>
    <w:rsid w:val="002F1411"/>
    <w:rsid w:val="002F3EDC"/>
    <w:rsid w:val="00305C12"/>
    <w:rsid w:val="003074BA"/>
    <w:rsid w:val="00310E87"/>
    <w:rsid w:val="003112A5"/>
    <w:rsid w:val="003115D2"/>
    <w:rsid w:val="00313FBB"/>
    <w:rsid w:val="00316EFB"/>
    <w:rsid w:val="00326864"/>
    <w:rsid w:val="00340F7A"/>
    <w:rsid w:val="00341CEE"/>
    <w:rsid w:val="00345E6A"/>
    <w:rsid w:val="0035141D"/>
    <w:rsid w:val="00351ACB"/>
    <w:rsid w:val="003522E0"/>
    <w:rsid w:val="00352A20"/>
    <w:rsid w:val="0035307C"/>
    <w:rsid w:val="003536AD"/>
    <w:rsid w:val="003564A9"/>
    <w:rsid w:val="00356A9A"/>
    <w:rsid w:val="00357A2F"/>
    <w:rsid w:val="003638DB"/>
    <w:rsid w:val="00366D31"/>
    <w:rsid w:val="00370A2D"/>
    <w:rsid w:val="0037383E"/>
    <w:rsid w:val="00381A48"/>
    <w:rsid w:val="00385403"/>
    <w:rsid w:val="003864E6"/>
    <w:rsid w:val="0038688E"/>
    <w:rsid w:val="0039045C"/>
    <w:rsid w:val="00390B67"/>
    <w:rsid w:val="00395ED3"/>
    <w:rsid w:val="00397D63"/>
    <w:rsid w:val="003A0CD4"/>
    <w:rsid w:val="003A354B"/>
    <w:rsid w:val="003A37A0"/>
    <w:rsid w:val="003A5DA3"/>
    <w:rsid w:val="003A70AF"/>
    <w:rsid w:val="003A7EDC"/>
    <w:rsid w:val="003B2C4E"/>
    <w:rsid w:val="003B3CFB"/>
    <w:rsid w:val="003B5ED3"/>
    <w:rsid w:val="003C08CC"/>
    <w:rsid w:val="003C3102"/>
    <w:rsid w:val="003D5BF9"/>
    <w:rsid w:val="003D73ED"/>
    <w:rsid w:val="003E1D6B"/>
    <w:rsid w:val="003E3F81"/>
    <w:rsid w:val="003E6FC0"/>
    <w:rsid w:val="003F3376"/>
    <w:rsid w:val="003F4ADF"/>
    <w:rsid w:val="003F78EA"/>
    <w:rsid w:val="003F7A94"/>
    <w:rsid w:val="00404828"/>
    <w:rsid w:val="00404C0C"/>
    <w:rsid w:val="004065A9"/>
    <w:rsid w:val="00406966"/>
    <w:rsid w:val="00406A7A"/>
    <w:rsid w:val="00407857"/>
    <w:rsid w:val="00420F91"/>
    <w:rsid w:val="0043598F"/>
    <w:rsid w:val="0044070E"/>
    <w:rsid w:val="00441A44"/>
    <w:rsid w:val="00445DBC"/>
    <w:rsid w:val="00446212"/>
    <w:rsid w:val="00447943"/>
    <w:rsid w:val="00451E97"/>
    <w:rsid w:val="00454DE4"/>
    <w:rsid w:val="00462142"/>
    <w:rsid w:val="00462636"/>
    <w:rsid w:val="00466CA6"/>
    <w:rsid w:val="0047103F"/>
    <w:rsid w:val="0047336C"/>
    <w:rsid w:val="00474189"/>
    <w:rsid w:val="0047424C"/>
    <w:rsid w:val="00475E1F"/>
    <w:rsid w:val="00482B7C"/>
    <w:rsid w:val="00486D4B"/>
    <w:rsid w:val="004A07EA"/>
    <w:rsid w:val="004A4409"/>
    <w:rsid w:val="004A447F"/>
    <w:rsid w:val="004A70D2"/>
    <w:rsid w:val="004B12EA"/>
    <w:rsid w:val="004B4DA4"/>
    <w:rsid w:val="004C343D"/>
    <w:rsid w:val="004C376E"/>
    <w:rsid w:val="004C65BC"/>
    <w:rsid w:val="004D1D54"/>
    <w:rsid w:val="004D2ABC"/>
    <w:rsid w:val="004E077F"/>
    <w:rsid w:val="004E0998"/>
    <w:rsid w:val="004E0EF3"/>
    <w:rsid w:val="004E3D40"/>
    <w:rsid w:val="004E3D65"/>
    <w:rsid w:val="004E3FEB"/>
    <w:rsid w:val="004E6A1A"/>
    <w:rsid w:val="004F07E8"/>
    <w:rsid w:val="004F5DD4"/>
    <w:rsid w:val="00502273"/>
    <w:rsid w:val="00506AA7"/>
    <w:rsid w:val="005072FF"/>
    <w:rsid w:val="00514832"/>
    <w:rsid w:val="00515F08"/>
    <w:rsid w:val="00526A7B"/>
    <w:rsid w:val="0052764D"/>
    <w:rsid w:val="00530F43"/>
    <w:rsid w:val="00534D41"/>
    <w:rsid w:val="00543E23"/>
    <w:rsid w:val="0055008A"/>
    <w:rsid w:val="00556D92"/>
    <w:rsid w:val="00557511"/>
    <w:rsid w:val="00562C8A"/>
    <w:rsid w:val="005644DC"/>
    <w:rsid w:val="00566DC9"/>
    <w:rsid w:val="00572BBF"/>
    <w:rsid w:val="005735B3"/>
    <w:rsid w:val="005754DA"/>
    <w:rsid w:val="005770A4"/>
    <w:rsid w:val="0058017F"/>
    <w:rsid w:val="00584DB3"/>
    <w:rsid w:val="00585BA8"/>
    <w:rsid w:val="00587468"/>
    <w:rsid w:val="00587C9C"/>
    <w:rsid w:val="00590912"/>
    <w:rsid w:val="005916C1"/>
    <w:rsid w:val="00593A23"/>
    <w:rsid w:val="0059452F"/>
    <w:rsid w:val="005967E7"/>
    <w:rsid w:val="00597C92"/>
    <w:rsid w:val="005A1A3B"/>
    <w:rsid w:val="005A1E81"/>
    <w:rsid w:val="005A2FB1"/>
    <w:rsid w:val="005A52DF"/>
    <w:rsid w:val="005A57FA"/>
    <w:rsid w:val="005B36BE"/>
    <w:rsid w:val="005B4749"/>
    <w:rsid w:val="005B4BF2"/>
    <w:rsid w:val="005C3BD6"/>
    <w:rsid w:val="005C4098"/>
    <w:rsid w:val="005C75C2"/>
    <w:rsid w:val="005C7BD8"/>
    <w:rsid w:val="005D0DD9"/>
    <w:rsid w:val="005D1D71"/>
    <w:rsid w:val="005D2F87"/>
    <w:rsid w:val="005D64E2"/>
    <w:rsid w:val="005D6D38"/>
    <w:rsid w:val="005D6EF0"/>
    <w:rsid w:val="005D71C0"/>
    <w:rsid w:val="005D73DF"/>
    <w:rsid w:val="005E045B"/>
    <w:rsid w:val="005E0D5A"/>
    <w:rsid w:val="005E697F"/>
    <w:rsid w:val="005E71A6"/>
    <w:rsid w:val="005F1EDA"/>
    <w:rsid w:val="005F2431"/>
    <w:rsid w:val="005F2892"/>
    <w:rsid w:val="006062F6"/>
    <w:rsid w:val="00607E29"/>
    <w:rsid w:val="0061255B"/>
    <w:rsid w:val="0061358A"/>
    <w:rsid w:val="00614581"/>
    <w:rsid w:val="006149B5"/>
    <w:rsid w:val="00614E78"/>
    <w:rsid w:val="0061562D"/>
    <w:rsid w:val="00623B41"/>
    <w:rsid w:val="00624141"/>
    <w:rsid w:val="00624E4C"/>
    <w:rsid w:val="00626F15"/>
    <w:rsid w:val="00641575"/>
    <w:rsid w:val="00641DCB"/>
    <w:rsid w:val="00641F02"/>
    <w:rsid w:val="006477DA"/>
    <w:rsid w:val="00650C63"/>
    <w:rsid w:val="00665D30"/>
    <w:rsid w:val="00670734"/>
    <w:rsid w:val="00670DEE"/>
    <w:rsid w:val="00673EDE"/>
    <w:rsid w:val="0067502F"/>
    <w:rsid w:val="006A517B"/>
    <w:rsid w:val="006B0B1E"/>
    <w:rsid w:val="006B2472"/>
    <w:rsid w:val="006B30CC"/>
    <w:rsid w:val="006B336B"/>
    <w:rsid w:val="006B40BA"/>
    <w:rsid w:val="006B5E08"/>
    <w:rsid w:val="006B67F3"/>
    <w:rsid w:val="006C0808"/>
    <w:rsid w:val="006C239E"/>
    <w:rsid w:val="006C30E2"/>
    <w:rsid w:val="006C38A0"/>
    <w:rsid w:val="006C4FD1"/>
    <w:rsid w:val="006D313C"/>
    <w:rsid w:val="006D35A9"/>
    <w:rsid w:val="006D5738"/>
    <w:rsid w:val="006D6E54"/>
    <w:rsid w:val="006D7970"/>
    <w:rsid w:val="006E3B20"/>
    <w:rsid w:val="006E3E00"/>
    <w:rsid w:val="006E49D2"/>
    <w:rsid w:val="006E6996"/>
    <w:rsid w:val="006E6B1D"/>
    <w:rsid w:val="006F1847"/>
    <w:rsid w:val="006F3B96"/>
    <w:rsid w:val="006F773B"/>
    <w:rsid w:val="007008C3"/>
    <w:rsid w:val="00701AD4"/>
    <w:rsid w:val="0070364C"/>
    <w:rsid w:val="0070441B"/>
    <w:rsid w:val="0070488A"/>
    <w:rsid w:val="0070618D"/>
    <w:rsid w:val="0071115F"/>
    <w:rsid w:val="007133CD"/>
    <w:rsid w:val="00715621"/>
    <w:rsid w:val="00717776"/>
    <w:rsid w:val="00721B59"/>
    <w:rsid w:val="00732C94"/>
    <w:rsid w:val="00733393"/>
    <w:rsid w:val="007342B4"/>
    <w:rsid w:val="00740622"/>
    <w:rsid w:val="00740E7B"/>
    <w:rsid w:val="00740E8C"/>
    <w:rsid w:val="00740EC5"/>
    <w:rsid w:val="00741E17"/>
    <w:rsid w:val="00745AC6"/>
    <w:rsid w:val="00756B65"/>
    <w:rsid w:val="00766DD8"/>
    <w:rsid w:val="00767017"/>
    <w:rsid w:val="00775E57"/>
    <w:rsid w:val="007800D6"/>
    <w:rsid w:val="00780D86"/>
    <w:rsid w:val="007841B8"/>
    <w:rsid w:val="00787140"/>
    <w:rsid w:val="007912C7"/>
    <w:rsid w:val="00793299"/>
    <w:rsid w:val="00794723"/>
    <w:rsid w:val="007948C0"/>
    <w:rsid w:val="007A1058"/>
    <w:rsid w:val="007A3622"/>
    <w:rsid w:val="007A5AA5"/>
    <w:rsid w:val="007B221A"/>
    <w:rsid w:val="007B23DF"/>
    <w:rsid w:val="007B4C51"/>
    <w:rsid w:val="007B4C5A"/>
    <w:rsid w:val="007C7062"/>
    <w:rsid w:val="007D4AE1"/>
    <w:rsid w:val="007E471A"/>
    <w:rsid w:val="007E49E6"/>
    <w:rsid w:val="007E5B9E"/>
    <w:rsid w:val="007E6D1F"/>
    <w:rsid w:val="007E6E4B"/>
    <w:rsid w:val="007F0F48"/>
    <w:rsid w:val="007F1E45"/>
    <w:rsid w:val="007F40D6"/>
    <w:rsid w:val="007F66DB"/>
    <w:rsid w:val="00801D85"/>
    <w:rsid w:val="00803842"/>
    <w:rsid w:val="008057D3"/>
    <w:rsid w:val="008070DD"/>
    <w:rsid w:val="00807EB4"/>
    <w:rsid w:val="00810B1B"/>
    <w:rsid w:val="0081184B"/>
    <w:rsid w:val="00813A65"/>
    <w:rsid w:val="00820CA0"/>
    <w:rsid w:val="00823556"/>
    <w:rsid w:val="00825051"/>
    <w:rsid w:val="00827669"/>
    <w:rsid w:val="008322B5"/>
    <w:rsid w:val="00834D98"/>
    <w:rsid w:val="00837AF1"/>
    <w:rsid w:val="00843CD5"/>
    <w:rsid w:val="008456F5"/>
    <w:rsid w:val="00845CF9"/>
    <w:rsid w:val="008500C7"/>
    <w:rsid w:val="00850C4A"/>
    <w:rsid w:val="00852CDF"/>
    <w:rsid w:val="008556A1"/>
    <w:rsid w:val="00855A2B"/>
    <w:rsid w:val="00860CAB"/>
    <w:rsid w:val="00861F57"/>
    <w:rsid w:val="0086623A"/>
    <w:rsid w:val="00867930"/>
    <w:rsid w:val="008708A4"/>
    <w:rsid w:val="00872993"/>
    <w:rsid w:val="008763A7"/>
    <w:rsid w:val="008809E8"/>
    <w:rsid w:val="00881C2D"/>
    <w:rsid w:val="008836D8"/>
    <w:rsid w:val="00884023"/>
    <w:rsid w:val="00884EFE"/>
    <w:rsid w:val="00896E69"/>
    <w:rsid w:val="008978BE"/>
    <w:rsid w:val="00897AA9"/>
    <w:rsid w:val="008A39A2"/>
    <w:rsid w:val="008A5F15"/>
    <w:rsid w:val="008A7B69"/>
    <w:rsid w:val="008A7F73"/>
    <w:rsid w:val="008B6C69"/>
    <w:rsid w:val="008C0905"/>
    <w:rsid w:val="008C0954"/>
    <w:rsid w:val="008C376A"/>
    <w:rsid w:val="008C6B2B"/>
    <w:rsid w:val="008C6D31"/>
    <w:rsid w:val="008C7025"/>
    <w:rsid w:val="008D25DB"/>
    <w:rsid w:val="008E084A"/>
    <w:rsid w:val="008E255C"/>
    <w:rsid w:val="008F1794"/>
    <w:rsid w:val="008F7A85"/>
    <w:rsid w:val="008F7F99"/>
    <w:rsid w:val="00906129"/>
    <w:rsid w:val="0091463F"/>
    <w:rsid w:val="009156A7"/>
    <w:rsid w:val="009228E4"/>
    <w:rsid w:val="00924A62"/>
    <w:rsid w:val="00925D9A"/>
    <w:rsid w:val="00933576"/>
    <w:rsid w:val="00933F3C"/>
    <w:rsid w:val="00940C9C"/>
    <w:rsid w:val="009447FC"/>
    <w:rsid w:val="00947252"/>
    <w:rsid w:val="009504D9"/>
    <w:rsid w:val="009506AD"/>
    <w:rsid w:val="00952685"/>
    <w:rsid w:val="00952D13"/>
    <w:rsid w:val="009534CE"/>
    <w:rsid w:val="009552C7"/>
    <w:rsid w:val="00955930"/>
    <w:rsid w:val="00955FF3"/>
    <w:rsid w:val="00956456"/>
    <w:rsid w:val="0096487F"/>
    <w:rsid w:val="00966347"/>
    <w:rsid w:val="00967096"/>
    <w:rsid w:val="009676F1"/>
    <w:rsid w:val="009734B0"/>
    <w:rsid w:val="00982D1F"/>
    <w:rsid w:val="00983E5E"/>
    <w:rsid w:val="0098492F"/>
    <w:rsid w:val="009935B2"/>
    <w:rsid w:val="00993664"/>
    <w:rsid w:val="009944E9"/>
    <w:rsid w:val="00994C45"/>
    <w:rsid w:val="00996030"/>
    <w:rsid w:val="009A01FF"/>
    <w:rsid w:val="009A02E8"/>
    <w:rsid w:val="009A4E11"/>
    <w:rsid w:val="009A57D2"/>
    <w:rsid w:val="009A73E5"/>
    <w:rsid w:val="009B540E"/>
    <w:rsid w:val="009B7907"/>
    <w:rsid w:val="009C0284"/>
    <w:rsid w:val="009C6645"/>
    <w:rsid w:val="009D62B2"/>
    <w:rsid w:val="009E1490"/>
    <w:rsid w:val="009E1670"/>
    <w:rsid w:val="009E3787"/>
    <w:rsid w:val="009E412C"/>
    <w:rsid w:val="009E52D1"/>
    <w:rsid w:val="009E5D36"/>
    <w:rsid w:val="009E5EB1"/>
    <w:rsid w:val="009E7367"/>
    <w:rsid w:val="009F0C49"/>
    <w:rsid w:val="009F29A3"/>
    <w:rsid w:val="009F2CB2"/>
    <w:rsid w:val="009F5C2B"/>
    <w:rsid w:val="009F6B24"/>
    <w:rsid w:val="009F6B62"/>
    <w:rsid w:val="00A02B78"/>
    <w:rsid w:val="00A05ED5"/>
    <w:rsid w:val="00A1128B"/>
    <w:rsid w:val="00A1397C"/>
    <w:rsid w:val="00A13B1B"/>
    <w:rsid w:val="00A176F4"/>
    <w:rsid w:val="00A17BE9"/>
    <w:rsid w:val="00A21998"/>
    <w:rsid w:val="00A243FA"/>
    <w:rsid w:val="00A30E69"/>
    <w:rsid w:val="00A3214E"/>
    <w:rsid w:val="00A40CDF"/>
    <w:rsid w:val="00A41EC9"/>
    <w:rsid w:val="00A546D8"/>
    <w:rsid w:val="00A55C35"/>
    <w:rsid w:val="00A56510"/>
    <w:rsid w:val="00A618A4"/>
    <w:rsid w:val="00A66D84"/>
    <w:rsid w:val="00A67375"/>
    <w:rsid w:val="00A74071"/>
    <w:rsid w:val="00A7432D"/>
    <w:rsid w:val="00A746BB"/>
    <w:rsid w:val="00A750B4"/>
    <w:rsid w:val="00A75C04"/>
    <w:rsid w:val="00A77909"/>
    <w:rsid w:val="00A80556"/>
    <w:rsid w:val="00A82B91"/>
    <w:rsid w:val="00A831A0"/>
    <w:rsid w:val="00A914D7"/>
    <w:rsid w:val="00A93FE4"/>
    <w:rsid w:val="00AA689C"/>
    <w:rsid w:val="00AA7233"/>
    <w:rsid w:val="00AA7541"/>
    <w:rsid w:val="00AB2C47"/>
    <w:rsid w:val="00AB6634"/>
    <w:rsid w:val="00AB75F7"/>
    <w:rsid w:val="00AC0E39"/>
    <w:rsid w:val="00AC6464"/>
    <w:rsid w:val="00AD11CF"/>
    <w:rsid w:val="00AD4E88"/>
    <w:rsid w:val="00AE0A4E"/>
    <w:rsid w:val="00AF1256"/>
    <w:rsid w:val="00AF161F"/>
    <w:rsid w:val="00AF2995"/>
    <w:rsid w:val="00B0253D"/>
    <w:rsid w:val="00B03669"/>
    <w:rsid w:val="00B03B7A"/>
    <w:rsid w:val="00B03E13"/>
    <w:rsid w:val="00B04379"/>
    <w:rsid w:val="00B048B8"/>
    <w:rsid w:val="00B0512E"/>
    <w:rsid w:val="00B05361"/>
    <w:rsid w:val="00B06A65"/>
    <w:rsid w:val="00B13BDB"/>
    <w:rsid w:val="00B175F8"/>
    <w:rsid w:val="00B22C8B"/>
    <w:rsid w:val="00B22FAC"/>
    <w:rsid w:val="00B23332"/>
    <w:rsid w:val="00B25D43"/>
    <w:rsid w:val="00B26519"/>
    <w:rsid w:val="00B270A2"/>
    <w:rsid w:val="00B273D9"/>
    <w:rsid w:val="00B36EB0"/>
    <w:rsid w:val="00B43C24"/>
    <w:rsid w:val="00B474D4"/>
    <w:rsid w:val="00B57724"/>
    <w:rsid w:val="00B62555"/>
    <w:rsid w:val="00B63C14"/>
    <w:rsid w:val="00B6537E"/>
    <w:rsid w:val="00B665F4"/>
    <w:rsid w:val="00B673D1"/>
    <w:rsid w:val="00B71580"/>
    <w:rsid w:val="00B7262C"/>
    <w:rsid w:val="00B762FF"/>
    <w:rsid w:val="00B76AEA"/>
    <w:rsid w:val="00B85F74"/>
    <w:rsid w:val="00B87E69"/>
    <w:rsid w:val="00B914E6"/>
    <w:rsid w:val="00B938C1"/>
    <w:rsid w:val="00BA6F3D"/>
    <w:rsid w:val="00BA7DC1"/>
    <w:rsid w:val="00BB52E0"/>
    <w:rsid w:val="00BC28AD"/>
    <w:rsid w:val="00BC2E13"/>
    <w:rsid w:val="00BC796F"/>
    <w:rsid w:val="00BC7B28"/>
    <w:rsid w:val="00BD0095"/>
    <w:rsid w:val="00BD0533"/>
    <w:rsid w:val="00BD2185"/>
    <w:rsid w:val="00BD3FE9"/>
    <w:rsid w:val="00BD49DC"/>
    <w:rsid w:val="00BD6503"/>
    <w:rsid w:val="00BE021C"/>
    <w:rsid w:val="00BE365F"/>
    <w:rsid w:val="00BE50C2"/>
    <w:rsid w:val="00BE6A3E"/>
    <w:rsid w:val="00BE733A"/>
    <w:rsid w:val="00BF0CD5"/>
    <w:rsid w:val="00BF237F"/>
    <w:rsid w:val="00C11C3C"/>
    <w:rsid w:val="00C12899"/>
    <w:rsid w:val="00C14605"/>
    <w:rsid w:val="00C16AD1"/>
    <w:rsid w:val="00C16D5A"/>
    <w:rsid w:val="00C20E19"/>
    <w:rsid w:val="00C21B14"/>
    <w:rsid w:val="00C21D0C"/>
    <w:rsid w:val="00C24B6E"/>
    <w:rsid w:val="00C24C56"/>
    <w:rsid w:val="00C263B7"/>
    <w:rsid w:val="00C278A7"/>
    <w:rsid w:val="00C30899"/>
    <w:rsid w:val="00C3423B"/>
    <w:rsid w:val="00C36107"/>
    <w:rsid w:val="00C41F30"/>
    <w:rsid w:val="00C467D4"/>
    <w:rsid w:val="00C47EC6"/>
    <w:rsid w:val="00C50CC7"/>
    <w:rsid w:val="00C5168B"/>
    <w:rsid w:val="00C51CD5"/>
    <w:rsid w:val="00C520AC"/>
    <w:rsid w:val="00C52A3E"/>
    <w:rsid w:val="00C534D9"/>
    <w:rsid w:val="00C546E6"/>
    <w:rsid w:val="00C558E3"/>
    <w:rsid w:val="00C60AF1"/>
    <w:rsid w:val="00C61541"/>
    <w:rsid w:val="00C62C62"/>
    <w:rsid w:val="00C6451E"/>
    <w:rsid w:val="00C64FE4"/>
    <w:rsid w:val="00C658F2"/>
    <w:rsid w:val="00C66865"/>
    <w:rsid w:val="00C70E02"/>
    <w:rsid w:val="00C71297"/>
    <w:rsid w:val="00C71B3C"/>
    <w:rsid w:val="00C75283"/>
    <w:rsid w:val="00C77E12"/>
    <w:rsid w:val="00C80683"/>
    <w:rsid w:val="00C82A8A"/>
    <w:rsid w:val="00C85513"/>
    <w:rsid w:val="00C94252"/>
    <w:rsid w:val="00CA062F"/>
    <w:rsid w:val="00CA4375"/>
    <w:rsid w:val="00CA78BE"/>
    <w:rsid w:val="00CB0A30"/>
    <w:rsid w:val="00CB509A"/>
    <w:rsid w:val="00CB6E88"/>
    <w:rsid w:val="00CC1A0C"/>
    <w:rsid w:val="00CC2D36"/>
    <w:rsid w:val="00CC3D3A"/>
    <w:rsid w:val="00CD079D"/>
    <w:rsid w:val="00CD09AF"/>
    <w:rsid w:val="00CD2E02"/>
    <w:rsid w:val="00CD555F"/>
    <w:rsid w:val="00CD67DD"/>
    <w:rsid w:val="00CD7C58"/>
    <w:rsid w:val="00CE1845"/>
    <w:rsid w:val="00CE1FCB"/>
    <w:rsid w:val="00CE4FD5"/>
    <w:rsid w:val="00CE5B99"/>
    <w:rsid w:val="00CE799D"/>
    <w:rsid w:val="00CF325C"/>
    <w:rsid w:val="00CF6659"/>
    <w:rsid w:val="00CF736F"/>
    <w:rsid w:val="00D00DFE"/>
    <w:rsid w:val="00D1276B"/>
    <w:rsid w:val="00D1613D"/>
    <w:rsid w:val="00D17766"/>
    <w:rsid w:val="00D20C85"/>
    <w:rsid w:val="00D211B1"/>
    <w:rsid w:val="00D24412"/>
    <w:rsid w:val="00D26166"/>
    <w:rsid w:val="00D26F1E"/>
    <w:rsid w:val="00D34B3A"/>
    <w:rsid w:val="00D36813"/>
    <w:rsid w:val="00D36E34"/>
    <w:rsid w:val="00D37653"/>
    <w:rsid w:val="00D37BEA"/>
    <w:rsid w:val="00D40E87"/>
    <w:rsid w:val="00D4495A"/>
    <w:rsid w:val="00D52562"/>
    <w:rsid w:val="00D53048"/>
    <w:rsid w:val="00D547CD"/>
    <w:rsid w:val="00D60830"/>
    <w:rsid w:val="00D60D3B"/>
    <w:rsid w:val="00D62AA3"/>
    <w:rsid w:val="00D70C97"/>
    <w:rsid w:val="00D7218A"/>
    <w:rsid w:val="00D74442"/>
    <w:rsid w:val="00D7472F"/>
    <w:rsid w:val="00D803C5"/>
    <w:rsid w:val="00D803C7"/>
    <w:rsid w:val="00D83D4F"/>
    <w:rsid w:val="00D90BB6"/>
    <w:rsid w:val="00D91CCD"/>
    <w:rsid w:val="00D94F31"/>
    <w:rsid w:val="00DA241C"/>
    <w:rsid w:val="00DA259F"/>
    <w:rsid w:val="00DA5357"/>
    <w:rsid w:val="00DA61D3"/>
    <w:rsid w:val="00DA64CC"/>
    <w:rsid w:val="00DA7231"/>
    <w:rsid w:val="00DB04D6"/>
    <w:rsid w:val="00DB12F2"/>
    <w:rsid w:val="00DB79B9"/>
    <w:rsid w:val="00DC1274"/>
    <w:rsid w:val="00DC3629"/>
    <w:rsid w:val="00DC4036"/>
    <w:rsid w:val="00DC71F6"/>
    <w:rsid w:val="00DD49C6"/>
    <w:rsid w:val="00DD695A"/>
    <w:rsid w:val="00DD7148"/>
    <w:rsid w:val="00DE001D"/>
    <w:rsid w:val="00DE1969"/>
    <w:rsid w:val="00DE37F2"/>
    <w:rsid w:val="00DE52A4"/>
    <w:rsid w:val="00DF3E23"/>
    <w:rsid w:val="00DF4966"/>
    <w:rsid w:val="00DF5D66"/>
    <w:rsid w:val="00DF7187"/>
    <w:rsid w:val="00E01131"/>
    <w:rsid w:val="00E062F8"/>
    <w:rsid w:val="00E10517"/>
    <w:rsid w:val="00E12820"/>
    <w:rsid w:val="00E13826"/>
    <w:rsid w:val="00E1405A"/>
    <w:rsid w:val="00E168DC"/>
    <w:rsid w:val="00E17D91"/>
    <w:rsid w:val="00E20A27"/>
    <w:rsid w:val="00E23F90"/>
    <w:rsid w:val="00E25AC4"/>
    <w:rsid w:val="00E35709"/>
    <w:rsid w:val="00E37794"/>
    <w:rsid w:val="00E4011C"/>
    <w:rsid w:val="00E4180F"/>
    <w:rsid w:val="00E41F0B"/>
    <w:rsid w:val="00E42F28"/>
    <w:rsid w:val="00E4697C"/>
    <w:rsid w:val="00E47EAA"/>
    <w:rsid w:val="00E5677F"/>
    <w:rsid w:val="00E60AE3"/>
    <w:rsid w:val="00E67E65"/>
    <w:rsid w:val="00E709EC"/>
    <w:rsid w:val="00E70D26"/>
    <w:rsid w:val="00E72FAE"/>
    <w:rsid w:val="00E730FF"/>
    <w:rsid w:val="00E73CE8"/>
    <w:rsid w:val="00E7467C"/>
    <w:rsid w:val="00E77B5B"/>
    <w:rsid w:val="00E809A1"/>
    <w:rsid w:val="00E90F53"/>
    <w:rsid w:val="00E90F65"/>
    <w:rsid w:val="00E94799"/>
    <w:rsid w:val="00E94A20"/>
    <w:rsid w:val="00E9692C"/>
    <w:rsid w:val="00EA0B50"/>
    <w:rsid w:val="00EA4EFE"/>
    <w:rsid w:val="00EB1408"/>
    <w:rsid w:val="00EB140B"/>
    <w:rsid w:val="00EB5B5B"/>
    <w:rsid w:val="00EC436C"/>
    <w:rsid w:val="00EC4860"/>
    <w:rsid w:val="00EC78B3"/>
    <w:rsid w:val="00EC7BB4"/>
    <w:rsid w:val="00EC7CC4"/>
    <w:rsid w:val="00ED0167"/>
    <w:rsid w:val="00ED2C35"/>
    <w:rsid w:val="00ED57BF"/>
    <w:rsid w:val="00EE39D6"/>
    <w:rsid w:val="00EE5605"/>
    <w:rsid w:val="00EF123F"/>
    <w:rsid w:val="00EF48D9"/>
    <w:rsid w:val="00F00197"/>
    <w:rsid w:val="00F139E4"/>
    <w:rsid w:val="00F21744"/>
    <w:rsid w:val="00F2308F"/>
    <w:rsid w:val="00F25B04"/>
    <w:rsid w:val="00F30FFB"/>
    <w:rsid w:val="00F314E7"/>
    <w:rsid w:val="00F325EA"/>
    <w:rsid w:val="00F33CFF"/>
    <w:rsid w:val="00F33E1E"/>
    <w:rsid w:val="00F35EA0"/>
    <w:rsid w:val="00F367AD"/>
    <w:rsid w:val="00F37438"/>
    <w:rsid w:val="00F421BE"/>
    <w:rsid w:val="00F46875"/>
    <w:rsid w:val="00F504B1"/>
    <w:rsid w:val="00F51287"/>
    <w:rsid w:val="00F54AFE"/>
    <w:rsid w:val="00F54F48"/>
    <w:rsid w:val="00F55900"/>
    <w:rsid w:val="00F57DBE"/>
    <w:rsid w:val="00F62366"/>
    <w:rsid w:val="00F624A7"/>
    <w:rsid w:val="00F62FB9"/>
    <w:rsid w:val="00F65854"/>
    <w:rsid w:val="00F72EE2"/>
    <w:rsid w:val="00F73194"/>
    <w:rsid w:val="00F7342D"/>
    <w:rsid w:val="00F7585A"/>
    <w:rsid w:val="00F80B11"/>
    <w:rsid w:val="00F86413"/>
    <w:rsid w:val="00F86D99"/>
    <w:rsid w:val="00F87F87"/>
    <w:rsid w:val="00F914B9"/>
    <w:rsid w:val="00F93586"/>
    <w:rsid w:val="00F942E0"/>
    <w:rsid w:val="00F96E5D"/>
    <w:rsid w:val="00F97FB7"/>
    <w:rsid w:val="00FA2359"/>
    <w:rsid w:val="00FA3102"/>
    <w:rsid w:val="00FA4488"/>
    <w:rsid w:val="00FA4C47"/>
    <w:rsid w:val="00FA4CFB"/>
    <w:rsid w:val="00FA6501"/>
    <w:rsid w:val="00FA7329"/>
    <w:rsid w:val="00FA75DB"/>
    <w:rsid w:val="00FB32D2"/>
    <w:rsid w:val="00FB3DE0"/>
    <w:rsid w:val="00FB4AF4"/>
    <w:rsid w:val="00FB6758"/>
    <w:rsid w:val="00FB7663"/>
    <w:rsid w:val="00FC3484"/>
    <w:rsid w:val="00FC4C71"/>
    <w:rsid w:val="00FC59EA"/>
    <w:rsid w:val="00FD0431"/>
    <w:rsid w:val="00FD32E4"/>
    <w:rsid w:val="00FD3CCD"/>
    <w:rsid w:val="00FE1459"/>
    <w:rsid w:val="00FE25C6"/>
    <w:rsid w:val="00FE4B4F"/>
    <w:rsid w:val="00FE5FB3"/>
    <w:rsid w:val="00FE6777"/>
    <w:rsid w:val="00FE7431"/>
    <w:rsid w:val="00FE7AA4"/>
    <w:rsid w:val="00FF140D"/>
    <w:rsid w:val="00FF5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9DE5F6"/>
  <w15:chartTrackingRefBased/>
  <w15:docId w15:val="{0365993B-ED41-F040-AE55-A9ACBACE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EF3"/>
    <w:pPr>
      <w:keepNext/>
      <w:keepLines/>
      <w:spacing w:before="120" w:after="12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13FBB"/>
    <w:pPr>
      <w:spacing w:after="60"/>
      <w:ind w:firstLine="432"/>
      <w:jc w:val="both"/>
    </w:pPr>
  </w:style>
  <w:style w:type="paragraph" w:customStyle="1" w:styleId="ResumeMainHeading">
    <w:name w:val="Resume Main Heading"/>
    <w:basedOn w:val="Title"/>
    <w:autoRedefine/>
    <w:qFormat/>
    <w:rsid w:val="001A3EDD"/>
    <w:rPr>
      <w:b w:val="0"/>
      <w:sz w:val="32"/>
    </w:rPr>
  </w:style>
  <w:style w:type="paragraph" w:styleId="Title">
    <w:name w:val="Title"/>
    <w:basedOn w:val="Normal"/>
    <w:next w:val="Normal"/>
    <w:link w:val="TitleChar"/>
    <w:uiPriority w:val="10"/>
    <w:qFormat/>
    <w:rsid w:val="00B71580"/>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B71580"/>
    <w:rPr>
      <w:rFonts w:eastAsiaTheme="majorEastAsia" w:cstheme="majorBidi"/>
      <w:b/>
      <w:spacing w:val="-10"/>
      <w:kern w:val="28"/>
      <w:sz w:val="28"/>
      <w:szCs w:val="56"/>
    </w:rPr>
  </w:style>
  <w:style w:type="paragraph" w:customStyle="1" w:styleId="Resumebody">
    <w:name w:val="Resume body"/>
    <w:basedOn w:val="Normal"/>
    <w:qFormat/>
    <w:rsid w:val="001A3EDD"/>
    <w:pPr>
      <w:numPr>
        <w:ilvl w:val="1"/>
        <w:numId w:val="2"/>
      </w:numPr>
      <w:spacing w:after="120"/>
      <w:contextualSpacing/>
    </w:pPr>
    <w:rPr>
      <w:rFonts w:eastAsia="Times New Roman"/>
      <w:szCs w:val="24"/>
    </w:rPr>
  </w:style>
  <w:style w:type="paragraph" w:customStyle="1" w:styleId="ResumeHeading1">
    <w:name w:val="Resume Heading 1"/>
    <w:basedOn w:val="Normal"/>
    <w:qFormat/>
    <w:rsid w:val="001A3EDD"/>
    <w:pPr>
      <w:spacing w:before="240" w:after="60"/>
    </w:pPr>
    <w:rPr>
      <w:rFonts w:ascii="Times New Roman Bold" w:eastAsia="Times New Roman" w:hAnsi="Times New Roman Bold"/>
      <w:b/>
      <w:smallCaps/>
      <w:szCs w:val="24"/>
    </w:rPr>
  </w:style>
  <w:style w:type="paragraph" w:styleId="NormalWeb">
    <w:name w:val="Normal (Web)"/>
    <w:basedOn w:val="Normal"/>
    <w:uiPriority w:val="99"/>
    <w:unhideWhenUsed/>
    <w:rsid w:val="00924A62"/>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924A62"/>
    <w:rPr>
      <w:color w:val="0000FF"/>
      <w:u w:val="single"/>
    </w:rPr>
  </w:style>
  <w:style w:type="character" w:customStyle="1" w:styleId="Heading1Char">
    <w:name w:val="Heading 1 Char"/>
    <w:basedOn w:val="DefaultParagraphFont"/>
    <w:link w:val="Heading1"/>
    <w:uiPriority w:val="9"/>
    <w:rsid w:val="004E0EF3"/>
    <w:rPr>
      <w:rFonts w:eastAsiaTheme="majorEastAsia" w:cstheme="majorBidi"/>
      <w:b/>
      <w:color w:val="000000" w:themeColor="text1"/>
      <w:szCs w:val="32"/>
    </w:rPr>
  </w:style>
  <w:style w:type="paragraph" w:styleId="FootnoteText">
    <w:name w:val="footnote text"/>
    <w:basedOn w:val="Normal"/>
    <w:link w:val="FootnoteTextChar"/>
    <w:uiPriority w:val="99"/>
    <w:semiHidden/>
    <w:unhideWhenUsed/>
    <w:rsid w:val="00D1276B"/>
    <w:rPr>
      <w:sz w:val="20"/>
    </w:rPr>
  </w:style>
  <w:style w:type="paragraph" w:customStyle="1" w:styleId="Abstract">
    <w:name w:val="Abstract"/>
    <w:basedOn w:val="Normal"/>
    <w:qFormat/>
    <w:rsid w:val="004E6A1A"/>
    <w:pPr>
      <w:spacing w:before="120" w:after="120"/>
      <w:jc w:val="both"/>
    </w:pPr>
    <w:rPr>
      <w:rFonts w:eastAsia="Times New Roman"/>
      <w:i/>
      <w:iCs/>
      <w:color w:val="000000"/>
      <w:szCs w:val="24"/>
    </w:rPr>
  </w:style>
  <w:style w:type="character" w:customStyle="1" w:styleId="FootnoteTextChar">
    <w:name w:val="Footnote Text Char"/>
    <w:basedOn w:val="DefaultParagraphFont"/>
    <w:link w:val="FootnoteText"/>
    <w:uiPriority w:val="99"/>
    <w:semiHidden/>
    <w:rsid w:val="00D1276B"/>
    <w:rPr>
      <w:sz w:val="20"/>
    </w:rPr>
  </w:style>
  <w:style w:type="character" w:styleId="FootnoteReference">
    <w:name w:val="footnote reference"/>
    <w:basedOn w:val="DefaultParagraphFont"/>
    <w:uiPriority w:val="99"/>
    <w:semiHidden/>
    <w:unhideWhenUsed/>
    <w:rsid w:val="00D1276B"/>
    <w:rPr>
      <w:vertAlign w:val="superscript"/>
    </w:rPr>
  </w:style>
  <w:style w:type="character" w:styleId="CommentReference">
    <w:name w:val="annotation reference"/>
    <w:basedOn w:val="DefaultParagraphFont"/>
    <w:uiPriority w:val="99"/>
    <w:semiHidden/>
    <w:unhideWhenUsed/>
    <w:rsid w:val="005D6EF0"/>
    <w:rPr>
      <w:sz w:val="16"/>
      <w:szCs w:val="16"/>
    </w:rPr>
  </w:style>
  <w:style w:type="paragraph" w:styleId="CommentText">
    <w:name w:val="annotation text"/>
    <w:basedOn w:val="Normal"/>
    <w:link w:val="CommentTextChar"/>
    <w:uiPriority w:val="99"/>
    <w:semiHidden/>
    <w:unhideWhenUsed/>
    <w:rsid w:val="005D6EF0"/>
    <w:rPr>
      <w:sz w:val="20"/>
    </w:rPr>
  </w:style>
  <w:style w:type="character" w:customStyle="1" w:styleId="CommentTextChar">
    <w:name w:val="Comment Text Char"/>
    <w:basedOn w:val="DefaultParagraphFont"/>
    <w:link w:val="CommentText"/>
    <w:uiPriority w:val="99"/>
    <w:semiHidden/>
    <w:rsid w:val="005D6EF0"/>
    <w:rPr>
      <w:sz w:val="20"/>
    </w:rPr>
  </w:style>
  <w:style w:type="paragraph" w:styleId="CommentSubject">
    <w:name w:val="annotation subject"/>
    <w:basedOn w:val="CommentText"/>
    <w:next w:val="CommentText"/>
    <w:link w:val="CommentSubjectChar"/>
    <w:uiPriority w:val="99"/>
    <w:semiHidden/>
    <w:unhideWhenUsed/>
    <w:rsid w:val="005D6EF0"/>
    <w:rPr>
      <w:b/>
      <w:bCs/>
    </w:rPr>
  </w:style>
  <w:style w:type="character" w:customStyle="1" w:styleId="CommentSubjectChar">
    <w:name w:val="Comment Subject Char"/>
    <w:basedOn w:val="CommentTextChar"/>
    <w:link w:val="CommentSubject"/>
    <w:uiPriority w:val="99"/>
    <w:semiHidden/>
    <w:rsid w:val="005D6EF0"/>
    <w:rPr>
      <w:b/>
      <w:bCs/>
      <w:sz w:val="20"/>
    </w:rPr>
  </w:style>
  <w:style w:type="character" w:styleId="UnresolvedMention">
    <w:name w:val="Unresolved Mention"/>
    <w:basedOn w:val="DefaultParagraphFont"/>
    <w:uiPriority w:val="99"/>
    <w:semiHidden/>
    <w:unhideWhenUsed/>
    <w:rsid w:val="006B2472"/>
    <w:rPr>
      <w:color w:val="605E5C"/>
      <w:shd w:val="clear" w:color="auto" w:fill="E1DFDD"/>
    </w:rPr>
  </w:style>
  <w:style w:type="paragraph" w:styleId="Revision">
    <w:name w:val="Revision"/>
    <w:hidden/>
    <w:uiPriority w:val="99"/>
    <w:semiHidden/>
    <w:rsid w:val="006B336B"/>
  </w:style>
  <w:style w:type="character" w:styleId="FollowedHyperlink">
    <w:name w:val="FollowedHyperlink"/>
    <w:basedOn w:val="DefaultParagraphFont"/>
    <w:uiPriority w:val="99"/>
    <w:semiHidden/>
    <w:unhideWhenUsed/>
    <w:rsid w:val="00933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80405">
      <w:bodyDiv w:val="1"/>
      <w:marLeft w:val="0"/>
      <w:marRight w:val="0"/>
      <w:marTop w:val="0"/>
      <w:marBottom w:val="0"/>
      <w:divBdr>
        <w:top w:val="none" w:sz="0" w:space="0" w:color="auto"/>
        <w:left w:val="none" w:sz="0" w:space="0" w:color="auto"/>
        <w:bottom w:val="none" w:sz="0" w:space="0" w:color="auto"/>
        <w:right w:val="none" w:sz="0" w:space="0" w:color="auto"/>
      </w:divBdr>
    </w:div>
    <w:div w:id="257835455">
      <w:bodyDiv w:val="1"/>
      <w:marLeft w:val="0"/>
      <w:marRight w:val="0"/>
      <w:marTop w:val="0"/>
      <w:marBottom w:val="0"/>
      <w:divBdr>
        <w:top w:val="none" w:sz="0" w:space="0" w:color="auto"/>
        <w:left w:val="none" w:sz="0" w:space="0" w:color="auto"/>
        <w:bottom w:val="none" w:sz="0" w:space="0" w:color="auto"/>
        <w:right w:val="none" w:sz="0" w:space="0" w:color="auto"/>
      </w:divBdr>
    </w:div>
    <w:div w:id="395320356">
      <w:bodyDiv w:val="1"/>
      <w:marLeft w:val="0"/>
      <w:marRight w:val="0"/>
      <w:marTop w:val="0"/>
      <w:marBottom w:val="0"/>
      <w:divBdr>
        <w:top w:val="none" w:sz="0" w:space="0" w:color="auto"/>
        <w:left w:val="none" w:sz="0" w:space="0" w:color="auto"/>
        <w:bottom w:val="none" w:sz="0" w:space="0" w:color="auto"/>
        <w:right w:val="none" w:sz="0" w:space="0" w:color="auto"/>
      </w:divBdr>
    </w:div>
    <w:div w:id="404378082">
      <w:bodyDiv w:val="1"/>
      <w:marLeft w:val="0"/>
      <w:marRight w:val="0"/>
      <w:marTop w:val="0"/>
      <w:marBottom w:val="0"/>
      <w:divBdr>
        <w:top w:val="none" w:sz="0" w:space="0" w:color="auto"/>
        <w:left w:val="none" w:sz="0" w:space="0" w:color="auto"/>
        <w:bottom w:val="none" w:sz="0" w:space="0" w:color="auto"/>
        <w:right w:val="none" w:sz="0" w:space="0" w:color="auto"/>
      </w:divBdr>
    </w:div>
    <w:div w:id="440301187">
      <w:bodyDiv w:val="1"/>
      <w:marLeft w:val="0"/>
      <w:marRight w:val="0"/>
      <w:marTop w:val="0"/>
      <w:marBottom w:val="0"/>
      <w:divBdr>
        <w:top w:val="none" w:sz="0" w:space="0" w:color="auto"/>
        <w:left w:val="none" w:sz="0" w:space="0" w:color="auto"/>
        <w:bottom w:val="none" w:sz="0" w:space="0" w:color="auto"/>
        <w:right w:val="none" w:sz="0" w:space="0" w:color="auto"/>
      </w:divBdr>
    </w:div>
    <w:div w:id="520243918">
      <w:bodyDiv w:val="1"/>
      <w:marLeft w:val="0"/>
      <w:marRight w:val="0"/>
      <w:marTop w:val="0"/>
      <w:marBottom w:val="0"/>
      <w:divBdr>
        <w:top w:val="none" w:sz="0" w:space="0" w:color="auto"/>
        <w:left w:val="none" w:sz="0" w:space="0" w:color="auto"/>
        <w:bottom w:val="none" w:sz="0" w:space="0" w:color="auto"/>
        <w:right w:val="none" w:sz="0" w:space="0" w:color="auto"/>
      </w:divBdr>
    </w:div>
    <w:div w:id="574705692">
      <w:bodyDiv w:val="1"/>
      <w:marLeft w:val="0"/>
      <w:marRight w:val="0"/>
      <w:marTop w:val="0"/>
      <w:marBottom w:val="0"/>
      <w:divBdr>
        <w:top w:val="none" w:sz="0" w:space="0" w:color="auto"/>
        <w:left w:val="none" w:sz="0" w:space="0" w:color="auto"/>
        <w:bottom w:val="none" w:sz="0" w:space="0" w:color="auto"/>
        <w:right w:val="none" w:sz="0" w:space="0" w:color="auto"/>
      </w:divBdr>
    </w:div>
    <w:div w:id="633103087">
      <w:bodyDiv w:val="1"/>
      <w:marLeft w:val="0"/>
      <w:marRight w:val="0"/>
      <w:marTop w:val="0"/>
      <w:marBottom w:val="0"/>
      <w:divBdr>
        <w:top w:val="none" w:sz="0" w:space="0" w:color="auto"/>
        <w:left w:val="none" w:sz="0" w:space="0" w:color="auto"/>
        <w:bottom w:val="none" w:sz="0" w:space="0" w:color="auto"/>
        <w:right w:val="none" w:sz="0" w:space="0" w:color="auto"/>
      </w:divBdr>
    </w:div>
    <w:div w:id="751512639">
      <w:bodyDiv w:val="1"/>
      <w:marLeft w:val="0"/>
      <w:marRight w:val="0"/>
      <w:marTop w:val="0"/>
      <w:marBottom w:val="0"/>
      <w:divBdr>
        <w:top w:val="none" w:sz="0" w:space="0" w:color="auto"/>
        <w:left w:val="none" w:sz="0" w:space="0" w:color="auto"/>
        <w:bottom w:val="none" w:sz="0" w:space="0" w:color="auto"/>
        <w:right w:val="none" w:sz="0" w:space="0" w:color="auto"/>
      </w:divBdr>
    </w:div>
    <w:div w:id="760177818">
      <w:bodyDiv w:val="1"/>
      <w:marLeft w:val="0"/>
      <w:marRight w:val="0"/>
      <w:marTop w:val="0"/>
      <w:marBottom w:val="0"/>
      <w:divBdr>
        <w:top w:val="none" w:sz="0" w:space="0" w:color="auto"/>
        <w:left w:val="none" w:sz="0" w:space="0" w:color="auto"/>
        <w:bottom w:val="none" w:sz="0" w:space="0" w:color="auto"/>
        <w:right w:val="none" w:sz="0" w:space="0" w:color="auto"/>
      </w:divBdr>
    </w:div>
    <w:div w:id="918759170">
      <w:bodyDiv w:val="1"/>
      <w:marLeft w:val="0"/>
      <w:marRight w:val="0"/>
      <w:marTop w:val="0"/>
      <w:marBottom w:val="0"/>
      <w:divBdr>
        <w:top w:val="none" w:sz="0" w:space="0" w:color="auto"/>
        <w:left w:val="none" w:sz="0" w:space="0" w:color="auto"/>
        <w:bottom w:val="none" w:sz="0" w:space="0" w:color="auto"/>
        <w:right w:val="none" w:sz="0" w:space="0" w:color="auto"/>
      </w:divBdr>
    </w:div>
    <w:div w:id="985814645">
      <w:bodyDiv w:val="1"/>
      <w:marLeft w:val="0"/>
      <w:marRight w:val="0"/>
      <w:marTop w:val="0"/>
      <w:marBottom w:val="0"/>
      <w:divBdr>
        <w:top w:val="none" w:sz="0" w:space="0" w:color="auto"/>
        <w:left w:val="none" w:sz="0" w:space="0" w:color="auto"/>
        <w:bottom w:val="none" w:sz="0" w:space="0" w:color="auto"/>
        <w:right w:val="none" w:sz="0" w:space="0" w:color="auto"/>
      </w:divBdr>
      <w:divsChild>
        <w:div w:id="483397971">
          <w:marLeft w:val="0"/>
          <w:marRight w:val="0"/>
          <w:marTop w:val="0"/>
          <w:marBottom w:val="0"/>
          <w:divBdr>
            <w:top w:val="none" w:sz="0" w:space="0" w:color="auto"/>
            <w:left w:val="none" w:sz="0" w:space="0" w:color="auto"/>
            <w:bottom w:val="none" w:sz="0" w:space="0" w:color="auto"/>
            <w:right w:val="none" w:sz="0" w:space="0" w:color="auto"/>
          </w:divBdr>
          <w:divsChild>
            <w:div w:id="557590535">
              <w:marLeft w:val="0"/>
              <w:marRight w:val="0"/>
              <w:marTop w:val="0"/>
              <w:marBottom w:val="0"/>
              <w:divBdr>
                <w:top w:val="none" w:sz="0" w:space="0" w:color="auto"/>
                <w:left w:val="none" w:sz="0" w:space="0" w:color="auto"/>
                <w:bottom w:val="none" w:sz="0" w:space="0" w:color="auto"/>
                <w:right w:val="none" w:sz="0" w:space="0" w:color="auto"/>
              </w:divBdr>
              <w:divsChild>
                <w:div w:id="1870213731">
                  <w:marLeft w:val="0"/>
                  <w:marRight w:val="0"/>
                  <w:marTop w:val="0"/>
                  <w:marBottom w:val="0"/>
                  <w:divBdr>
                    <w:top w:val="none" w:sz="0" w:space="0" w:color="auto"/>
                    <w:left w:val="none" w:sz="0" w:space="0" w:color="auto"/>
                    <w:bottom w:val="none" w:sz="0" w:space="0" w:color="auto"/>
                    <w:right w:val="none" w:sz="0" w:space="0" w:color="auto"/>
                  </w:divBdr>
                  <w:divsChild>
                    <w:div w:id="19153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40426">
      <w:bodyDiv w:val="1"/>
      <w:marLeft w:val="0"/>
      <w:marRight w:val="0"/>
      <w:marTop w:val="0"/>
      <w:marBottom w:val="0"/>
      <w:divBdr>
        <w:top w:val="none" w:sz="0" w:space="0" w:color="auto"/>
        <w:left w:val="none" w:sz="0" w:space="0" w:color="auto"/>
        <w:bottom w:val="none" w:sz="0" w:space="0" w:color="auto"/>
        <w:right w:val="none" w:sz="0" w:space="0" w:color="auto"/>
      </w:divBdr>
    </w:div>
    <w:div w:id="1074887732">
      <w:bodyDiv w:val="1"/>
      <w:marLeft w:val="0"/>
      <w:marRight w:val="0"/>
      <w:marTop w:val="0"/>
      <w:marBottom w:val="0"/>
      <w:divBdr>
        <w:top w:val="none" w:sz="0" w:space="0" w:color="auto"/>
        <w:left w:val="none" w:sz="0" w:space="0" w:color="auto"/>
        <w:bottom w:val="none" w:sz="0" w:space="0" w:color="auto"/>
        <w:right w:val="none" w:sz="0" w:space="0" w:color="auto"/>
      </w:divBdr>
    </w:div>
    <w:div w:id="1153526359">
      <w:bodyDiv w:val="1"/>
      <w:marLeft w:val="0"/>
      <w:marRight w:val="0"/>
      <w:marTop w:val="0"/>
      <w:marBottom w:val="0"/>
      <w:divBdr>
        <w:top w:val="none" w:sz="0" w:space="0" w:color="auto"/>
        <w:left w:val="none" w:sz="0" w:space="0" w:color="auto"/>
        <w:bottom w:val="none" w:sz="0" w:space="0" w:color="auto"/>
        <w:right w:val="none" w:sz="0" w:space="0" w:color="auto"/>
      </w:divBdr>
    </w:div>
    <w:div w:id="1184788733">
      <w:bodyDiv w:val="1"/>
      <w:marLeft w:val="0"/>
      <w:marRight w:val="0"/>
      <w:marTop w:val="0"/>
      <w:marBottom w:val="0"/>
      <w:divBdr>
        <w:top w:val="none" w:sz="0" w:space="0" w:color="auto"/>
        <w:left w:val="none" w:sz="0" w:space="0" w:color="auto"/>
        <w:bottom w:val="none" w:sz="0" w:space="0" w:color="auto"/>
        <w:right w:val="none" w:sz="0" w:space="0" w:color="auto"/>
      </w:divBdr>
    </w:div>
    <w:div w:id="1193037533">
      <w:bodyDiv w:val="1"/>
      <w:marLeft w:val="0"/>
      <w:marRight w:val="0"/>
      <w:marTop w:val="0"/>
      <w:marBottom w:val="0"/>
      <w:divBdr>
        <w:top w:val="none" w:sz="0" w:space="0" w:color="auto"/>
        <w:left w:val="none" w:sz="0" w:space="0" w:color="auto"/>
        <w:bottom w:val="none" w:sz="0" w:space="0" w:color="auto"/>
        <w:right w:val="none" w:sz="0" w:space="0" w:color="auto"/>
      </w:divBdr>
    </w:div>
    <w:div w:id="1203831182">
      <w:bodyDiv w:val="1"/>
      <w:marLeft w:val="0"/>
      <w:marRight w:val="0"/>
      <w:marTop w:val="0"/>
      <w:marBottom w:val="0"/>
      <w:divBdr>
        <w:top w:val="none" w:sz="0" w:space="0" w:color="auto"/>
        <w:left w:val="none" w:sz="0" w:space="0" w:color="auto"/>
        <w:bottom w:val="none" w:sz="0" w:space="0" w:color="auto"/>
        <w:right w:val="none" w:sz="0" w:space="0" w:color="auto"/>
      </w:divBdr>
    </w:div>
    <w:div w:id="1208371704">
      <w:bodyDiv w:val="1"/>
      <w:marLeft w:val="0"/>
      <w:marRight w:val="0"/>
      <w:marTop w:val="0"/>
      <w:marBottom w:val="0"/>
      <w:divBdr>
        <w:top w:val="none" w:sz="0" w:space="0" w:color="auto"/>
        <w:left w:val="none" w:sz="0" w:space="0" w:color="auto"/>
        <w:bottom w:val="none" w:sz="0" w:space="0" w:color="auto"/>
        <w:right w:val="none" w:sz="0" w:space="0" w:color="auto"/>
      </w:divBdr>
    </w:div>
    <w:div w:id="1321927959">
      <w:bodyDiv w:val="1"/>
      <w:marLeft w:val="0"/>
      <w:marRight w:val="0"/>
      <w:marTop w:val="0"/>
      <w:marBottom w:val="0"/>
      <w:divBdr>
        <w:top w:val="none" w:sz="0" w:space="0" w:color="auto"/>
        <w:left w:val="none" w:sz="0" w:space="0" w:color="auto"/>
        <w:bottom w:val="none" w:sz="0" w:space="0" w:color="auto"/>
        <w:right w:val="none" w:sz="0" w:space="0" w:color="auto"/>
      </w:divBdr>
    </w:div>
    <w:div w:id="1757751482">
      <w:bodyDiv w:val="1"/>
      <w:marLeft w:val="0"/>
      <w:marRight w:val="0"/>
      <w:marTop w:val="0"/>
      <w:marBottom w:val="0"/>
      <w:divBdr>
        <w:top w:val="none" w:sz="0" w:space="0" w:color="auto"/>
        <w:left w:val="none" w:sz="0" w:space="0" w:color="auto"/>
        <w:bottom w:val="none" w:sz="0" w:space="0" w:color="auto"/>
        <w:right w:val="none" w:sz="0" w:space="0" w:color="auto"/>
      </w:divBdr>
    </w:div>
    <w:div w:id="1780300282">
      <w:bodyDiv w:val="1"/>
      <w:marLeft w:val="0"/>
      <w:marRight w:val="0"/>
      <w:marTop w:val="0"/>
      <w:marBottom w:val="0"/>
      <w:divBdr>
        <w:top w:val="none" w:sz="0" w:space="0" w:color="auto"/>
        <w:left w:val="none" w:sz="0" w:space="0" w:color="auto"/>
        <w:bottom w:val="none" w:sz="0" w:space="0" w:color="auto"/>
        <w:right w:val="none" w:sz="0" w:space="0" w:color="auto"/>
      </w:divBdr>
    </w:div>
    <w:div w:id="1784227301">
      <w:bodyDiv w:val="1"/>
      <w:marLeft w:val="0"/>
      <w:marRight w:val="0"/>
      <w:marTop w:val="0"/>
      <w:marBottom w:val="0"/>
      <w:divBdr>
        <w:top w:val="none" w:sz="0" w:space="0" w:color="auto"/>
        <w:left w:val="none" w:sz="0" w:space="0" w:color="auto"/>
        <w:bottom w:val="none" w:sz="0" w:space="0" w:color="auto"/>
        <w:right w:val="none" w:sz="0" w:space="0" w:color="auto"/>
      </w:divBdr>
    </w:div>
    <w:div w:id="1787657820">
      <w:bodyDiv w:val="1"/>
      <w:marLeft w:val="0"/>
      <w:marRight w:val="0"/>
      <w:marTop w:val="0"/>
      <w:marBottom w:val="0"/>
      <w:divBdr>
        <w:top w:val="none" w:sz="0" w:space="0" w:color="auto"/>
        <w:left w:val="none" w:sz="0" w:space="0" w:color="auto"/>
        <w:bottom w:val="none" w:sz="0" w:space="0" w:color="auto"/>
        <w:right w:val="none" w:sz="0" w:space="0" w:color="auto"/>
      </w:divBdr>
    </w:div>
    <w:div w:id="1939827650">
      <w:bodyDiv w:val="1"/>
      <w:marLeft w:val="0"/>
      <w:marRight w:val="0"/>
      <w:marTop w:val="0"/>
      <w:marBottom w:val="0"/>
      <w:divBdr>
        <w:top w:val="none" w:sz="0" w:space="0" w:color="auto"/>
        <w:left w:val="none" w:sz="0" w:space="0" w:color="auto"/>
        <w:bottom w:val="none" w:sz="0" w:space="0" w:color="auto"/>
        <w:right w:val="none" w:sz="0" w:space="0" w:color="auto"/>
      </w:divBdr>
    </w:div>
    <w:div w:id="1984121163">
      <w:bodyDiv w:val="1"/>
      <w:marLeft w:val="0"/>
      <w:marRight w:val="0"/>
      <w:marTop w:val="0"/>
      <w:marBottom w:val="0"/>
      <w:divBdr>
        <w:top w:val="none" w:sz="0" w:space="0" w:color="auto"/>
        <w:left w:val="none" w:sz="0" w:space="0" w:color="auto"/>
        <w:bottom w:val="none" w:sz="0" w:space="0" w:color="auto"/>
        <w:right w:val="none" w:sz="0" w:space="0" w:color="auto"/>
      </w:divBdr>
    </w:div>
    <w:div w:id="2057463264">
      <w:bodyDiv w:val="1"/>
      <w:marLeft w:val="0"/>
      <w:marRight w:val="0"/>
      <w:marTop w:val="0"/>
      <w:marBottom w:val="0"/>
      <w:divBdr>
        <w:top w:val="none" w:sz="0" w:space="0" w:color="auto"/>
        <w:left w:val="none" w:sz="0" w:space="0" w:color="auto"/>
        <w:bottom w:val="none" w:sz="0" w:space="0" w:color="auto"/>
        <w:right w:val="none" w:sz="0" w:space="0" w:color="auto"/>
      </w:divBdr>
      <w:divsChild>
        <w:div w:id="1540240317">
          <w:marLeft w:val="0"/>
          <w:marRight w:val="0"/>
          <w:marTop w:val="0"/>
          <w:marBottom w:val="0"/>
          <w:divBdr>
            <w:top w:val="none" w:sz="0" w:space="0" w:color="auto"/>
            <w:left w:val="none" w:sz="0" w:space="0" w:color="auto"/>
            <w:bottom w:val="none" w:sz="0" w:space="0" w:color="auto"/>
            <w:right w:val="none" w:sz="0" w:space="0" w:color="auto"/>
          </w:divBdr>
          <w:divsChild>
            <w:div w:id="1888838382">
              <w:marLeft w:val="0"/>
              <w:marRight w:val="0"/>
              <w:marTop w:val="0"/>
              <w:marBottom w:val="0"/>
              <w:divBdr>
                <w:top w:val="none" w:sz="0" w:space="0" w:color="auto"/>
                <w:left w:val="none" w:sz="0" w:space="0" w:color="auto"/>
                <w:bottom w:val="none" w:sz="0" w:space="0" w:color="auto"/>
                <w:right w:val="none" w:sz="0" w:space="0" w:color="auto"/>
              </w:divBdr>
              <w:divsChild>
                <w:div w:id="1755711681">
                  <w:marLeft w:val="0"/>
                  <w:marRight w:val="0"/>
                  <w:marTop w:val="0"/>
                  <w:marBottom w:val="0"/>
                  <w:divBdr>
                    <w:top w:val="none" w:sz="0" w:space="0" w:color="auto"/>
                    <w:left w:val="none" w:sz="0" w:space="0" w:color="auto"/>
                    <w:bottom w:val="none" w:sz="0" w:space="0" w:color="auto"/>
                    <w:right w:val="none" w:sz="0" w:space="0" w:color="auto"/>
                  </w:divBdr>
                  <w:divsChild>
                    <w:div w:id="11345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43821">
      <w:bodyDiv w:val="1"/>
      <w:marLeft w:val="0"/>
      <w:marRight w:val="0"/>
      <w:marTop w:val="0"/>
      <w:marBottom w:val="0"/>
      <w:divBdr>
        <w:top w:val="none" w:sz="0" w:space="0" w:color="auto"/>
        <w:left w:val="none" w:sz="0" w:space="0" w:color="auto"/>
        <w:bottom w:val="none" w:sz="0" w:space="0" w:color="auto"/>
        <w:right w:val="none" w:sz="0" w:space="0" w:color="auto"/>
      </w:divBdr>
    </w:div>
    <w:div w:id="2123110996">
      <w:bodyDiv w:val="1"/>
      <w:marLeft w:val="0"/>
      <w:marRight w:val="0"/>
      <w:marTop w:val="0"/>
      <w:marBottom w:val="0"/>
      <w:divBdr>
        <w:top w:val="none" w:sz="0" w:space="0" w:color="auto"/>
        <w:left w:val="none" w:sz="0" w:space="0" w:color="auto"/>
        <w:bottom w:val="none" w:sz="0" w:space="0" w:color="auto"/>
        <w:right w:val="none" w:sz="0" w:space="0" w:color="auto"/>
      </w:divBdr>
    </w:div>
    <w:div w:id="21304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Sapna</dc:creator>
  <cp:keywords/>
  <dc:description/>
  <cp:lastModifiedBy>Haochen Sun</cp:lastModifiedBy>
  <cp:revision>2</cp:revision>
  <dcterms:created xsi:type="dcterms:W3CDTF">2023-02-16T15:39:00Z</dcterms:created>
  <dcterms:modified xsi:type="dcterms:W3CDTF">2023-02-16T15:39:00Z</dcterms:modified>
</cp:coreProperties>
</file>